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1C782"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00:00:01 Magdalena Komaracka</w:t>
      </w:r>
    </w:p>
    <w:p w14:paraId="31FF7163"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 xml:space="preserve">Good morning, everyone. A very warm welcome to the conference devoted to the PZU Group’s results for the first quarter of 2026. The results presentation will be delivered by Mr. Bogdan Benczak, CEO of PZU, and Mr. Maciej Fedyna, Member of the Management Boards of PZU and PZU </w:t>
      </w:r>
      <w:proofErr w:type="spellStart"/>
      <w:r w:rsidRPr="005932AD">
        <w:rPr>
          <w:rFonts w:ascii="Source Sans Pro" w:hAnsi="Source Sans Pro"/>
          <w:sz w:val="22"/>
          <w:szCs w:val="22"/>
        </w:rPr>
        <w:t>Życie</w:t>
      </w:r>
      <w:proofErr w:type="spellEnd"/>
      <w:r w:rsidRPr="005932AD">
        <w:rPr>
          <w:rFonts w:ascii="Source Sans Pro" w:hAnsi="Source Sans Pro"/>
          <w:sz w:val="22"/>
          <w:szCs w:val="22"/>
        </w:rPr>
        <w:t xml:space="preserve"> and CFO of the PZU Group. Mr. Benczak, over to you.</w:t>
      </w:r>
    </w:p>
    <w:p w14:paraId="2FADAE6B" w14:textId="77777777" w:rsidR="0081171B" w:rsidRPr="005932AD" w:rsidRDefault="0081171B" w:rsidP="0081171B">
      <w:pPr>
        <w:spacing w:line="360" w:lineRule="auto"/>
        <w:jc w:val="both"/>
        <w:rPr>
          <w:rFonts w:ascii="Source Sans Pro" w:hAnsi="Source Sans Pro"/>
          <w:sz w:val="22"/>
          <w:szCs w:val="22"/>
        </w:rPr>
      </w:pPr>
    </w:p>
    <w:p w14:paraId="35091557"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00:00:26 Bogdan Benczak</w:t>
      </w:r>
    </w:p>
    <w:p w14:paraId="3884759C" w14:textId="62908F5B"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 xml:space="preserve">Good morning. A very warm welcome to the PZU Group’s earnings conference following the first quarter of 2026. I am </w:t>
      </w:r>
      <w:r w:rsidR="008141A3">
        <w:rPr>
          <w:rFonts w:ascii="Source Sans Pro" w:hAnsi="Source Sans Pro"/>
          <w:sz w:val="22"/>
          <w:szCs w:val="22"/>
        </w:rPr>
        <w:t>delighted</w:t>
      </w:r>
      <w:r w:rsidRPr="005932AD">
        <w:rPr>
          <w:rFonts w:ascii="Source Sans Pro" w:hAnsi="Source Sans Pro"/>
          <w:sz w:val="22"/>
          <w:szCs w:val="22"/>
        </w:rPr>
        <w:t xml:space="preserve"> that for the first time I will be hosting, co-hosting, this conference together with Maciej, who is currently responsible for the finance and risk area in the PZU Group. Welcome, and let us begin.</w:t>
      </w:r>
    </w:p>
    <w:p w14:paraId="4CA0B4B1" w14:textId="25B3A2A4"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The first quarter of 2026 as delivered by the PZU Group – we consider it a very solid opening to this year. Market conditions for our organization were somewhat less favorable than exactly a year ago. This was due, on the one hand, to high volatility in the financial markets and, on the other, to the fact that this year</w:t>
      </w:r>
      <w:r w:rsidR="008141A3">
        <w:rPr>
          <w:rFonts w:ascii="Source Sans Pro" w:hAnsi="Source Sans Pro"/>
          <w:sz w:val="22"/>
          <w:szCs w:val="22"/>
        </w:rPr>
        <w:t>’s</w:t>
      </w:r>
      <w:r w:rsidRPr="005932AD">
        <w:rPr>
          <w:rFonts w:ascii="Source Sans Pro" w:hAnsi="Source Sans Pro"/>
          <w:sz w:val="22"/>
          <w:szCs w:val="22"/>
        </w:rPr>
        <w:t xml:space="preserve"> winter in our region really </w:t>
      </w:r>
      <w:r w:rsidR="008141A3">
        <w:rPr>
          <w:rFonts w:ascii="Source Sans Pro" w:hAnsi="Source Sans Pro"/>
          <w:sz w:val="22"/>
          <w:szCs w:val="22"/>
        </w:rPr>
        <w:t>felt like</w:t>
      </w:r>
      <w:r w:rsidR="008141A3" w:rsidRPr="005932AD">
        <w:rPr>
          <w:rFonts w:ascii="Source Sans Pro" w:hAnsi="Source Sans Pro"/>
          <w:sz w:val="22"/>
          <w:szCs w:val="22"/>
        </w:rPr>
        <w:t xml:space="preserve"> </w:t>
      </w:r>
      <w:r w:rsidRPr="005932AD">
        <w:rPr>
          <w:rFonts w:ascii="Source Sans Pro" w:hAnsi="Source Sans Pro"/>
          <w:sz w:val="22"/>
          <w:szCs w:val="22"/>
        </w:rPr>
        <w:t>winter, unlike a year ago. That said, we are especially proud to have delivered record sales. The PLN</w:t>
      </w:r>
      <w:r w:rsidR="00CD0300">
        <w:rPr>
          <w:rFonts w:ascii="Source Sans Pro" w:hAnsi="Source Sans Pro"/>
          <w:sz w:val="22"/>
          <w:szCs w:val="22"/>
        </w:rPr>
        <w:t> </w:t>
      </w:r>
      <w:r w:rsidRPr="005932AD">
        <w:rPr>
          <w:rFonts w:ascii="Source Sans Pro" w:hAnsi="Source Sans Pro"/>
          <w:sz w:val="22"/>
          <w:szCs w:val="22"/>
        </w:rPr>
        <w:t>7.8</w:t>
      </w:r>
      <w:r w:rsidR="00CD0300">
        <w:rPr>
          <w:rFonts w:ascii="Source Sans Pro" w:hAnsi="Source Sans Pro"/>
          <w:sz w:val="22"/>
          <w:szCs w:val="22"/>
        </w:rPr>
        <w:t> </w:t>
      </w:r>
      <w:r w:rsidRPr="005932AD">
        <w:rPr>
          <w:rFonts w:ascii="Source Sans Pro" w:hAnsi="Source Sans Pro"/>
          <w:sz w:val="22"/>
          <w:szCs w:val="22"/>
        </w:rPr>
        <w:t>bn after the first quarter is the highest figure the PZU Group has ever posted after a first quarter. At the same time, we generated close to PLN</w:t>
      </w:r>
      <w:r w:rsidR="000D297A">
        <w:rPr>
          <w:rFonts w:ascii="Source Sans Pro" w:hAnsi="Source Sans Pro"/>
          <w:sz w:val="22"/>
          <w:szCs w:val="22"/>
        </w:rPr>
        <w:t> </w:t>
      </w:r>
      <w:r w:rsidRPr="005932AD">
        <w:rPr>
          <w:rFonts w:ascii="Source Sans Pro" w:hAnsi="Source Sans Pro"/>
          <w:sz w:val="22"/>
          <w:szCs w:val="22"/>
        </w:rPr>
        <w:t>1.4</w:t>
      </w:r>
      <w:r w:rsidR="000D297A">
        <w:rPr>
          <w:rFonts w:ascii="Source Sans Pro" w:hAnsi="Source Sans Pro"/>
          <w:sz w:val="22"/>
          <w:szCs w:val="22"/>
        </w:rPr>
        <w:t> </w:t>
      </w:r>
      <w:r w:rsidRPr="005932AD">
        <w:rPr>
          <w:rFonts w:ascii="Source Sans Pro" w:hAnsi="Source Sans Pro"/>
          <w:sz w:val="22"/>
          <w:szCs w:val="22"/>
        </w:rPr>
        <w:t>bn in net profit. That follows from, and is a consequence of, deliberate risk management and our diversified business model. In the subsequent parts of the presentation</w:t>
      </w:r>
      <w:r w:rsidR="000D297A">
        <w:rPr>
          <w:rFonts w:ascii="Source Sans Pro" w:hAnsi="Source Sans Pro"/>
          <w:sz w:val="22"/>
          <w:szCs w:val="22"/>
        </w:rPr>
        <w:t>,</w:t>
      </w:r>
      <w:r w:rsidRPr="005932AD">
        <w:rPr>
          <w:rFonts w:ascii="Source Sans Pro" w:hAnsi="Source Sans Pro"/>
          <w:sz w:val="22"/>
          <w:szCs w:val="22"/>
        </w:rPr>
        <w:t xml:space="preserve"> Maciej will discuss the individual components that contributed to the bottom line after the first quarter. And yes, we closed the first quarter with a stable capital position. We have that 240% solvency ratio. At the same time, yesterday</w:t>
      </w:r>
      <w:r w:rsidR="000D297A">
        <w:rPr>
          <w:rFonts w:ascii="Source Sans Pro" w:hAnsi="Source Sans Pro"/>
          <w:sz w:val="22"/>
          <w:szCs w:val="22"/>
        </w:rPr>
        <w:t>,</w:t>
      </w:r>
      <w:r w:rsidRPr="005932AD">
        <w:rPr>
          <w:rFonts w:ascii="Source Sans Pro" w:hAnsi="Source Sans Pro"/>
          <w:sz w:val="22"/>
          <w:szCs w:val="22"/>
        </w:rPr>
        <w:t xml:space="preserve"> the PZU Management Board, following a favorable recommendation from the Supervisory Board, decided to recommend a dividend for 2025 of PLN</w:t>
      </w:r>
      <w:r w:rsidR="000D297A">
        <w:rPr>
          <w:rFonts w:ascii="Source Sans Pro" w:hAnsi="Source Sans Pro"/>
          <w:sz w:val="22"/>
          <w:szCs w:val="22"/>
        </w:rPr>
        <w:t> </w:t>
      </w:r>
      <w:r w:rsidRPr="005932AD">
        <w:rPr>
          <w:rFonts w:ascii="Source Sans Pro" w:hAnsi="Source Sans Pro"/>
          <w:sz w:val="22"/>
          <w:szCs w:val="22"/>
        </w:rPr>
        <w:t>4.80, which translates into a dividend yield of approximately 7.6%.</w:t>
      </w:r>
    </w:p>
    <w:p w14:paraId="4C40CE08" w14:textId="1E8ED0B5"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On May</w:t>
      </w:r>
      <w:r w:rsidR="000707C0">
        <w:rPr>
          <w:rFonts w:ascii="Source Sans Pro" w:hAnsi="Source Sans Pro"/>
          <w:sz w:val="22"/>
          <w:szCs w:val="22"/>
        </w:rPr>
        <w:t> </w:t>
      </w:r>
      <w:r w:rsidRPr="005932AD">
        <w:rPr>
          <w:rFonts w:ascii="Source Sans Pro" w:hAnsi="Source Sans Pro"/>
          <w:sz w:val="22"/>
          <w:szCs w:val="22"/>
        </w:rPr>
        <w:t>12</w:t>
      </w:r>
      <w:r w:rsidR="000707C0">
        <w:rPr>
          <w:rFonts w:ascii="Source Sans Pro" w:hAnsi="Source Sans Pro"/>
          <w:sz w:val="22"/>
          <w:szCs w:val="22"/>
        </w:rPr>
        <w:t>,</w:t>
      </w:r>
      <w:r w:rsidRPr="005932AD">
        <w:rPr>
          <w:rFonts w:ascii="Source Sans Pro" w:hAnsi="Source Sans Pro"/>
          <w:sz w:val="22"/>
          <w:szCs w:val="22"/>
        </w:rPr>
        <w:t xml:space="preserve"> it was 16 years since the PZU Group made its debut on the Warsaw Stock Exchange. Over that period, over those 16 years, we have paid out close to PLN</w:t>
      </w:r>
      <w:r w:rsidR="000707C0">
        <w:rPr>
          <w:rFonts w:ascii="Source Sans Pro" w:hAnsi="Source Sans Pro"/>
          <w:sz w:val="22"/>
          <w:szCs w:val="22"/>
        </w:rPr>
        <w:t> </w:t>
      </w:r>
      <w:r w:rsidRPr="005932AD">
        <w:rPr>
          <w:rFonts w:ascii="Source Sans Pro" w:hAnsi="Source Sans Pro"/>
          <w:sz w:val="22"/>
          <w:szCs w:val="22"/>
        </w:rPr>
        <w:t>37</w:t>
      </w:r>
      <w:r w:rsidR="000707C0">
        <w:rPr>
          <w:rFonts w:ascii="Source Sans Pro" w:hAnsi="Source Sans Pro"/>
          <w:sz w:val="22"/>
          <w:szCs w:val="22"/>
        </w:rPr>
        <w:t> </w:t>
      </w:r>
      <w:r w:rsidRPr="005932AD">
        <w:rPr>
          <w:rFonts w:ascii="Source Sans Pro" w:hAnsi="Source Sans Pro"/>
          <w:sz w:val="22"/>
          <w:szCs w:val="22"/>
        </w:rPr>
        <w:t>bn in dividends. You can see here the Total Return chart for the PZU Group. And yes, the dividend – our recommendation is to pay a</w:t>
      </w:r>
      <w:r w:rsidR="000707C0">
        <w:rPr>
          <w:rFonts w:ascii="Source Sans Pro" w:hAnsi="Source Sans Pro"/>
          <w:sz w:val="22"/>
          <w:szCs w:val="22"/>
        </w:rPr>
        <w:t> </w:t>
      </w:r>
      <w:r w:rsidRPr="005932AD">
        <w:rPr>
          <w:rFonts w:ascii="Source Sans Pro" w:hAnsi="Source Sans Pro"/>
          <w:sz w:val="22"/>
          <w:szCs w:val="22"/>
        </w:rPr>
        <w:t>dividend of PLN</w:t>
      </w:r>
      <w:r w:rsidR="000707C0">
        <w:rPr>
          <w:rFonts w:ascii="Source Sans Pro" w:hAnsi="Source Sans Pro"/>
          <w:sz w:val="22"/>
          <w:szCs w:val="22"/>
        </w:rPr>
        <w:t> </w:t>
      </w:r>
      <w:r w:rsidRPr="005932AD">
        <w:rPr>
          <w:rFonts w:ascii="Source Sans Pro" w:hAnsi="Source Sans Pro"/>
          <w:sz w:val="22"/>
          <w:szCs w:val="22"/>
        </w:rPr>
        <w:t>4.80. The dividend record date will be September</w:t>
      </w:r>
      <w:r w:rsidR="00FE0D44">
        <w:rPr>
          <w:rFonts w:ascii="Source Sans Pro" w:hAnsi="Source Sans Pro"/>
          <w:sz w:val="22"/>
          <w:szCs w:val="22"/>
        </w:rPr>
        <w:t> </w:t>
      </w:r>
      <w:r w:rsidRPr="005932AD">
        <w:rPr>
          <w:rFonts w:ascii="Source Sans Pro" w:hAnsi="Source Sans Pro"/>
          <w:sz w:val="22"/>
          <w:szCs w:val="22"/>
        </w:rPr>
        <w:t>17 this year</w:t>
      </w:r>
      <w:r w:rsidR="00FE0D44">
        <w:rPr>
          <w:rFonts w:ascii="Source Sans Pro" w:hAnsi="Source Sans Pro"/>
          <w:sz w:val="22"/>
          <w:szCs w:val="22"/>
        </w:rPr>
        <w:t>,</w:t>
      </w:r>
      <w:r w:rsidRPr="005932AD">
        <w:rPr>
          <w:rFonts w:ascii="Source Sans Pro" w:hAnsi="Source Sans Pro"/>
          <w:sz w:val="22"/>
          <w:szCs w:val="22"/>
        </w:rPr>
        <w:t xml:space="preserve"> and the dividend payment date will be October</w:t>
      </w:r>
      <w:r w:rsidR="00FE0D44">
        <w:rPr>
          <w:rFonts w:ascii="Source Sans Pro" w:hAnsi="Source Sans Pro"/>
          <w:sz w:val="22"/>
          <w:szCs w:val="22"/>
        </w:rPr>
        <w:t> </w:t>
      </w:r>
      <w:r w:rsidRPr="005932AD">
        <w:rPr>
          <w:rFonts w:ascii="Source Sans Pro" w:hAnsi="Source Sans Pro"/>
          <w:sz w:val="22"/>
          <w:szCs w:val="22"/>
        </w:rPr>
        <w:t>8,</w:t>
      </w:r>
      <w:r w:rsidR="00FE0D44">
        <w:rPr>
          <w:rFonts w:ascii="Source Sans Pro" w:hAnsi="Source Sans Pro"/>
          <w:sz w:val="22"/>
          <w:szCs w:val="22"/>
        </w:rPr>
        <w:t> </w:t>
      </w:r>
      <w:r w:rsidRPr="005932AD">
        <w:rPr>
          <w:rFonts w:ascii="Source Sans Pro" w:hAnsi="Source Sans Pro"/>
          <w:sz w:val="22"/>
          <w:szCs w:val="22"/>
        </w:rPr>
        <w:t>2026. On top of that, we would emphasize that we have a stable S&amp;P credit rating of A- with a positive outlook, which rests on, which follows from, our solvency, a</w:t>
      </w:r>
      <w:r w:rsidR="005C0E7C">
        <w:rPr>
          <w:rFonts w:ascii="Source Sans Pro" w:hAnsi="Source Sans Pro"/>
          <w:sz w:val="22"/>
          <w:szCs w:val="22"/>
        </w:rPr>
        <w:t> </w:t>
      </w:r>
      <w:r w:rsidRPr="005932AD">
        <w:rPr>
          <w:rFonts w:ascii="Source Sans Pro" w:hAnsi="Source Sans Pro"/>
          <w:sz w:val="22"/>
          <w:szCs w:val="22"/>
        </w:rPr>
        <w:t xml:space="preserve">solvency ratio of close to 240%. You know the composition of our investment portfolio very well. Close to 80% is treasury bonds, and we also have effective reinsurance coverage. The beginning of </w:t>
      </w:r>
      <w:r w:rsidRPr="005932AD">
        <w:rPr>
          <w:rFonts w:ascii="Source Sans Pro" w:hAnsi="Source Sans Pro"/>
          <w:sz w:val="22"/>
          <w:szCs w:val="22"/>
        </w:rPr>
        <w:lastRenderedPageBreak/>
        <w:t>this year has been about consistently building and improving our market position. We announced that we had signed an agreement to acquire 100% of the shares in MetLife Ukraine. And, as we said, we did so because there was a business available to be acquired – that is the first point. Second, it operates in a market we know well, where we have people, resources and expertise locally. A further element is that we made use of the instruments available in Poland to mitigate the geopolitical risks associated with this acquisition. So</w:t>
      </w:r>
      <w:r w:rsidR="005C0E7C">
        <w:rPr>
          <w:rFonts w:ascii="Source Sans Pro" w:hAnsi="Source Sans Pro"/>
          <w:sz w:val="22"/>
          <w:szCs w:val="22"/>
        </w:rPr>
        <w:t>,</w:t>
      </w:r>
      <w:r w:rsidRPr="005932AD">
        <w:rPr>
          <w:rFonts w:ascii="Source Sans Pro" w:hAnsi="Source Sans Pro"/>
          <w:sz w:val="22"/>
          <w:szCs w:val="22"/>
        </w:rPr>
        <w:t xml:space="preserve"> whenever such an opportunity arises, the PZU Group always acts to make an acquisition that will strengthen its market position. At the same time, we are consolidating our operations in Poland. We also announced the consolidation with Link4. The purpose is, first, to roll out the </w:t>
      </w:r>
      <w:proofErr w:type="spellStart"/>
      <w:r w:rsidRPr="005932AD">
        <w:rPr>
          <w:rFonts w:ascii="Source Sans Pro" w:hAnsi="Source Sans Pro"/>
          <w:sz w:val="22"/>
          <w:szCs w:val="22"/>
        </w:rPr>
        <w:t>multibrand</w:t>
      </w:r>
      <w:proofErr w:type="spellEnd"/>
      <w:r w:rsidRPr="005932AD">
        <w:rPr>
          <w:rFonts w:ascii="Source Sans Pro" w:hAnsi="Source Sans Pro"/>
          <w:sz w:val="22"/>
          <w:szCs w:val="22"/>
        </w:rPr>
        <w:t xml:space="preserve"> strategy in full, in order to mitigate the risks arising from operating through two separate companies, and also to make full use of the potential of the Link4 brand; but what is particularly important from our point of view is the simplification of our structure and its greater efficiency. We plan that the merger – as regards integration, as regards the acquisition of MetLife Ukraine – we would like to close the regulatory proceedings by the end of this year. The legal merger with Link4, in line with our assumptions, is to take place in the first quarter of next year.</w:t>
      </w:r>
    </w:p>
    <w:p w14:paraId="6D2CD9AD" w14:textId="038ACBC1"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Our growth rests not only on scale but, above all, on quality and on value for the client. In 2026, in the non-life insurance market</w:t>
      </w:r>
      <w:r w:rsidR="009F116F">
        <w:rPr>
          <w:rFonts w:ascii="Source Sans Pro" w:hAnsi="Source Sans Pro"/>
          <w:sz w:val="22"/>
          <w:szCs w:val="22"/>
        </w:rPr>
        <w:t>,</w:t>
      </w:r>
      <w:r w:rsidRPr="005932AD">
        <w:rPr>
          <w:rFonts w:ascii="Source Sans Pro" w:hAnsi="Source Sans Pro"/>
          <w:sz w:val="22"/>
          <w:szCs w:val="22"/>
        </w:rPr>
        <w:t xml:space="preserve"> we grew in particular in the non-motor segment. What I am especially proud of is that we are consistently growing revenue in individual protective insurance on the life side; the health pillar is also contributing to our result, and our mutual fund companies within the PZU Group are successfully attracting third-party client assets. Nor are we forgetting about changes in the technology in which we operate. The </w:t>
      </w:r>
      <w:proofErr w:type="spellStart"/>
      <w:r w:rsidRPr="005932AD">
        <w:rPr>
          <w:rFonts w:ascii="Source Sans Pro" w:hAnsi="Source Sans Pro"/>
          <w:sz w:val="22"/>
          <w:szCs w:val="22"/>
        </w:rPr>
        <w:t>mojePZU</w:t>
      </w:r>
      <w:proofErr w:type="spellEnd"/>
      <w:r w:rsidRPr="005932AD">
        <w:rPr>
          <w:rFonts w:ascii="Source Sans Pro" w:hAnsi="Source Sans Pro"/>
          <w:sz w:val="22"/>
          <w:szCs w:val="22"/>
        </w:rPr>
        <w:t xml:space="preserve"> platform already serves 6 million users.</w:t>
      </w:r>
    </w:p>
    <w:p w14:paraId="6CA7BAB4" w14:textId="216EAB98"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If we compare our results after the first quarter with the last two years, we can certainly see that the first-quarter results, despite the factors I mentioned and the factors relating to the changing regulatory environment in our banking business, show that the PZU Group’s diversified business model makes it possible to deliver satisfactory, solid results. The largest contributor was the insurance service result at PLN</w:t>
      </w:r>
      <w:r w:rsidR="009F116F">
        <w:rPr>
          <w:rFonts w:ascii="Source Sans Pro" w:hAnsi="Source Sans Pro"/>
          <w:sz w:val="22"/>
          <w:szCs w:val="22"/>
        </w:rPr>
        <w:t> </w:t>
      </w:r>
      <w:r w:rsidRPr="005932AD">
        <w:rPr>
          <w:rFonts w:ascii="Source Sans Pro" w:hAnsi="Source Sans Pro"/>
          <w:sz w:val="22"/>
          <w:szCs w:val="22"/>
        </w:rPr>
        <w:t>1.137</w:t>
      </w:r>
      <w:r w:rsidR="009F116F">
        <w:rPr>
          <w:rFonts w:ascii="Source Sans Pro" w:hAnsi="Source Sans Pro"/>
          <w:sz w:val="22"/>
          <w:szCs w:val="22"/>
        </w:rPr>
        <w:t> </w:t>
      </w:r>
      <w:r w:rsidRPr="005932AD">
        <w:rPr>
          <w:rFonts w:ascii="Source Sans Pro" w:hAnsi="Source Sans Pro"/>
          <w:sz w:val="22"/>
          <w:szCs w:val="22"/>
        </w:rPr>
        <w:t>bn. Investment activity brought us PLN 655 m, the operating margin in life insurance was 25%, more than 25%. What we achieved in non-life insurance was a</w:t>
      </w:r>
      <w:r w:rsidR="009F116F">
        <w:rPr>
          <w:rFonts w:ascii="Source Sans Pro" w:hAnsi="Source Sans Pro"/>
          <w:sz w:val="22"/>
          <w:szCs w:val="22"/>
        </w:rPr>
        <w:t> </w:t>
      </w:r>
      <w:r w:rsidRPr="005932AD">
        <w:rPr>
          <w:rFonts w:ascii="Source Sans Pro" w:hAnsi="Source Sans Pro"/>
          <w:sz w:val="22"/>
          <w:szCs w:val="22"/>
        </w:rPr>
        <w:t>combined ratio below 87%. Given the current market cycle, and given that in the first quarter we recorded an increase in claims frequency related to weather factors, to winter, we are really pleased that we are able to deliver such a result for our shareholders.</w:t>
      </w:r>
    </w:p>
    <w:p w14:paraId="79B28B24" w14:textId="51608928"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 xml:space="preserve">We are continuing to implement our strategy. First of all, on the distribution side, we are continuing the </w:t>
      </w:r>
      <w:proofErr w:type="spellStart"/>
      <w:r w:rsidRPr="005932AD">
        <w:rPr>
          <w:rFonts w:ascii="Source Sans Pro" w:hAnsi="Source Sans Pro"/>
          <w:sz w:val="22"/>
          <w:szCs w:val="22"/>
        </w:rPr>
        <w:t>odNowa</w:t>
      </w:r>
      <w:proofErr w:type="spellEnd"/>
      <w:r w:rsidRPr="005932AD">
        <w:rPr>
          <w:rFonts w:ascii="Source Sans Pro" w:hAnsi="Source Sans Pro"/>
          <w:sz w:val="22"/>
          <w:szCs w:val="22"/>
        </w:rPr>
        <w:t xml:space="preserve"> project, which is intended to strengthen our tied agent channel and enable it to operate </w:t>
      </w:r>
      <w:r w:rsidRPr="005932AD">
        <w:rPr>
          <w:rFonts w:ascii="Source Sans Pro" w:hAnsi="Source Sans Pro"/>
          <w:sz w:val="22"/>
          <w:szCs w:val="22"/>
        </w:rPr>
        <w:lastRenderedPageBreak/>
        <w:t>even more effectively. As we informed you, on the claims side</w:t>
      </w:r>
      <w:r w:rsidR="00CA5AF8">
        <w:rPr>
          <w:rFonts w:ascii="Source Sans Pro" w:hAnsi="Source Sans Pro"/>
          <w:sz w:val="22"/>
          <w:szCs w:val="22"/>
        </w:rPr>
        <w:t>,</w:t>
      </w:r>
      <w:r w:rsidRPr="005932AD">
        <w:rPr>
          <w:rFonts w:ascii="Source Sans Pro" w:hAnsi="Source Sans Pro"/>
          <w:sz w:val="22"/>
          <w:szCs w:val="22"/>
        </w:rPr>
        <w:t xml:space="preserve"> we are preparing to roll out a new claims-handling system. We assume that the operational implementation phase will begin in the second half of this year</w:t>
      </w:r>
      <w:r w:rsidR="00CA5AF8">
        <w:rPr>
          <w:rFonts w:ascii="Source Sans Pro" w:hAnsi="Source Sans Pro"/>
          <w:sz w:val="22"/>
          <w:szCs w:val="22"/>
        </w:rPr>
        <w:t>,</w:t>
      </w:r>
      <w:r w:rsidRPr="005932AD">
        <w:rPr>
          <w:rFonts w:ascii="Source Sans Pro" w:hAnsi="Source Sans Pro"/>
          <w:sz w:val="22"/>
          <w:szCs w:val="22"/>
        </w:rPr>
        <w:t xml:space="preserve"> and that we will see the first effects in the second half of 2027. For now, we are improving our performance in this area through a series of initiatives aimed at greater efficiency and greater agility in this part of our business. In addition, we are continuing work on the Innovate PL program, and our mutual fund company is also preparing new products step by step; step by step we are rolling out our ETFs and bringing them to market. I have already mentioned the </w:t>
      </w:r>
      <w:proofErr w:type="spellStart"/>
      <w:r w:rsidRPr="005932AD">
        <w:rPr>
          <w:rFonts w:ascii="Source Sans Pro" w:hAnsi="Source Sans Pro"/>
          <w:sz w:val="22"/>
          <w:szCs w:val="22"/>
        </w:rPr>
        <w:t>mojePZU</w:t>
      </w:r>
      <w:proofErr w:type="spellEnd"/>
      <w:r w:rsidRPr="005932AD">
        <w:rPr>
          <w:rFonts w:ascii="Source Sans Pro" w:hAnsi="Source Sans Pro"/>
          <w:sz w:val="22"/>
          <w:szCs w:val="22"/>
        </w:rPr>
        <w:t xml:space="preserve"> platform. Ultimately, this is our strategic way of communicating with our clients, and after the first quarter of this year the platform serves 6 million clients.</w:t>
      </w:r>
      <w:r w:rsidRPr="005932AD">
        <w:rPr>
          <w:rFonts w:ascii="Source Sans Pro" w:hAnsi="Source Sans Pro"/>
          <w:sz w:val="22"/>
          <w:szCs w:val="22"/>
        </w:rPr>
        <w:br/>
        <w:t>In the health pillar we are continuing our work on developing our own network of medical facilities, and we are also analyzing the market situation closely. We also have plans to expand our partner network.</w:t>
      </w:r>
    </w:p>
    <w:p w14:paraId="5190D8BE"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 xml:space="preserve">As regards the </w:t>
      </w:r>
      <w:proofErr w:type="spellStart"/>
      <w:r w:rsidRPr="005932AD">
        <w:rPr>
          <w:rFonts w:ascii="Source Sans Pro" w:hAnsi="Source Sans Pro"/>
          <w:sz w:val="22"/>
          <w:szCs w:val="22"/>
        </w:rPr>
        <w:t>odNowa</w:t>
      </w:r>
      <w:proofErr w:type="spellEnd"/>
      <w:r w:rsidRPr="005932AD">
        <w:rPr>
          <w:rFonts w:ascii="Source Sans Pro" w:hAnsi="Source Sans Pro"/>
          <w:sz w:val="22"/>
          <w:szCs w:val="22"/>
        </w:rPr>
        <w:t xml:space="preserve"> partnership, I have said many times that tied agents are a unique competitive advantage of the PZU Group, and we are currently focused on making the most effective use of this sales channel. Hence the deployment of modern technology tools that will allow us to serve our clients even more effectively. I have emphasized many times that our goal is to eliminate technology debt at PZU, and we are pursuing those efforts step by step, introducing new technology solutions. And of course, what we are working on as part of the integration with Link4 is the </w:t>
      </w:r>
      <w:proofErr w:type="spellStart"/>
      <w:r w:rsidRPr="005932AD">
        <w:rPr>
          <w:rFonts w:ascii="Source Sans Pro" w:hAnsi="Source Sans Pro"/>
          <w:sz w:val="22"/>
          <w:szCs w:val="22"/>
        </w:rPr>
        <w:t>multibrand</w:t>
      </w:r>
      <w:proofErr w:type="spellEnd"/>
      <w:r w:rsidRPr="005932AD">
        <w:rPr>
          <w:rFonts w:ascii="Source Sans Pro" w:hAnsi="Source Sans Pro"/>
          <w:sz w:val="22"/>
          <w:szCs w:val="22"/>
        </w:rPr>
        <w:t xml:space="preserve"> strategy.</w:t>
      </w:r>
    </w:p>
    <w:p w14:paraId="3CD7C3D2"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As I mentioned regarding our current operations and improving efficiency in claims handling processes, we have managed to significantly shorten the average handling time for motor claims and the average time between the notification of a claim and the inspection; we are also working hard to increase the percentage of claims settled amicably. In his comments on the insurance part, Maciej will explain how these factors translate into changes in the triangles used for setting reserves.</w:t>
      </w:r>
    </w:p>
    <w:p w14:paraId="3C801E1D"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As I said, we are continuing work on the Innovate PL project, on the Innovate PL program, and at the same time we have prepared the first Polish ETFs, which are already listed on the Warsaw Stock Exchange, and we also have plans to roll out further products of this kind. I tell everyone that at PZU everyone is in sales, so I will also take this opportunity to draw your attention to point number 4 – we are running a promotion until the end of this year. We encourage you to buy PZU Group ETFs. It is a very good product.</w:t>
      </w:r>
    </w:p>
    <w:p w14:paraId="1A101BAC" w14:textId="6646AC7B"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 xml:space="preserve">If we compare where we stand on our journey toward implementing our strategy, our current strategy, after the first quarter of 2026, then, as I said, it is a solid, record result. As for sales after the </w:t>
      </w:r>
      <w:r w:rsidRPr="005932AD">
        <w:rPr>
          <w:rFonts w:ascii="Source Sans Pro" w:hAnsi="Source Sans Pro"/>
          <w:sz w:val="22"/>
          <w:szCs w:val="22"/>
        </w:rPr>
        <w:lastRenderedPageBreak/>
        <w:t>first quarter, PLN</w:t>
      </w:r>
      <w:r w:rsidR="00CA5AF8">
        <w:rPr>
          <w:rFonts w:ascii="Source Sans Pro" w:hAnsi="Source Sans Pro"/>
          <w:sz w:val="22"/>
          <w:szCs w:val="22"/>
        </w:rPr>
        <w:t> </w:t>
      </w:r>
      <w:r w:rsidRPr="005932AD">
        <w:rPr>
          <w:rFonts w:ascii="Source Sans Pro" w:hAnsi="Source Sans Pro"/>
          <w:sz w:val="22"/>
          <w:szCs w:val="22"/>
        </w:rPr>
        <w:t>7.8</w:t>
      </w:r>
      <w:r w:rsidR="00CA5AF8">
        <w:rPr>
          <w:rFonts w:ascii="Source Sans Pro" w:hAnsi="Source Sans Pro"/>
          <w:sz w:val="22"/>
          <w:szCs w:val="22"/>
        </w:rPr>
        <w:t> </w:t>
      </w:r>
      <w:r w:rsidRPr="005932AD">
        <w:rPr>
          <w:rFonts w:ascii="Source Sans Pro" w:hAnsi="Source Sans Pro"/>
          <w:sz w:val="22"/>
          <w:szCs w:val="22"/>
        </w:rPr>
        <w:t>bn. As for the net profit we achieved, close to PLN</w:t>
      </w:r>
      <w:r w:rsidR="00CA5AF8">
        <w:rPr>
          <w:rFonts w:ascii="Source Sans Pro" w:hAnsi="Source Sans Pro"/>
          <w:sz w:val="22"/>
          <w:szCs w:val="22"/>
        </w:rPr>
        <w:t> </w:t>
      </w:r>
      <w:r w:rsidRPr="005932AD">
        <w:rPr>
          <w:rFonts w:ascii="Source Sans Pro" w:hAnsi="Source Sans Pro"/>
          <w:sz w:val="22"/>
          <w:szCs w:val="22"/>
        </w:rPr>
        <w:t>1.4</w:t>
      </w:r>
      <w:r w:rsidR="00CA5AF8">
        <w:rPr>
          <w:rFonts w:ascii="Source Sans Pro" w:hAnsi="Source Sans Pro"/>
          <w:sz w:val="22"/>
          <w:szCs w:val="22"/>
        </w:rPr>
        <w:t> </w:t>
      </w:r>
      <w:r w:rsidRPr="005932AD">
        <w:rPr>
          <w:rFonts w:ascii="Source Sans Pro" w:hAnsi="Source Sans Pro"/>
          <w:sz w:val="22"/>
          <w:szCs w:val="22"/>
        </w:rPr>
        <w:t>bn. And these two figures are within the range we envisage for our strategy. As for the dividend, we have recommended PLN</w:t>
      </w:r>
      <w:r w:rsidR="00CA5AF8">
        <w:rPr>
          <w:rFonts w:ascii="Source Sans Pro" w:hAnsi="Source Sans Pro"/>
          <w:sz w:val="22"/>
          <w:szCs w:val="22"/>
        </w:rPr>
        <w:t> </w:t>
      </w:r>
      <w:r w:rsidRPr="005932AD">
        <w:rPr>
          <w:rFonts w:ascii="Source Sans Pro" w:hAnsi="Source Sans Pro"/>
          <w:sz w:val="22"/>
          <w:szCs w:val="22"/>
        </w:rPr>
        <w:t>4.80</w:t>
      </w:r>
      <w:r w:rsidR="00CA5AF8">
        <w:rPr>
          <w:rFonts w:ascii="Source Sans Pro" w:hAnsi="Source Sans Pro"/>
          <w:sz w:val="22"/>
          <w:szCs w:val="22"/>
        </w:rPr>
        <w:t> </w:t>
      </w:r>
      <w:r w:rsidRPr="005932AD">
        <w:rPr>
          <w:rFonts w:ascii="Source Sans Pro" w:hAnsi="Source Sans Pro"/>
          <w:sz w:val="22"/>
          <w:szCs w:val="22"/>
        </w:rPr>
        <w:t>per share. And the ratios envisaged… we achieved the ratio, this year we achieved the ratio we had envisaged in our strategy, which we also presented to you. It provides for a dividend of no less than PLN</w:t>
      </w:r>
      <w:r w:rsidR="00CA5AF8">
        <w:rPr>
          <w:rFonts w:ascii="Source Sans Pro" w:hAnsi="Source Sans Pro"/>
          <w:sz w:val="22"/>
          <w:szCs w:val="22"/>
        </w:rPr>
        <w:t> </w:t>
      </w:r>
      <w:r w:rsidRPr="005932AD">
        <w:rPr>
          <w:rFonts w:ascii="Source Sans Pro" w:hAnsi="Source Sans Pro"/>
          <w:sz w:val="22"/>
          <w:szCs w:val="22"/>
        </w:rPr>
        <w:t>4.50 per share. That is all from me, and I will now hand the magic scrolling box over to Maciej. Maciej, over to you.</w:t>
      </w:r>
    </w:p>
    <w:p w14:paraId="770266DA" w14:textId="77777777" w:rsidR="0081171B" w:rsidRPr="005932AD" w:rsidRDefault="0081171B" w:rsidP="0081171B">
      <w:pPr>
        <w:spacing w:line="360" w:lineRule="auto"/>
        <w:jc w:val="both"/>
        <w:rPr>
          <w:rFonts w:ascii="Source Sans Pro" w:hAnsi="Source Sans Pro"/>
          <w:sz w:val="22"/>
          <w:szCs w:val="22"/>
        </w:rPr>
      </w:pPr>
    </w:p>
    <w:p w14:paraId="3230C370"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00:15:40 Maciej Fedyna</w:t>
      </w:r>
    </w:p>
    <w:p w14:paraId="13C67E7A" w14:textId="6AAF62F1"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Good morning. Ladies and gentlemen, my name is Maciej Fedyna. It is a great pleasure for me to present the Group’s results for the first quarter of 2026 to you today. My own debut also falls at a</w:t>
      </w:r>
      <w:r w:rsidR="00CA5AF8">
        <w:rPr>
          <w:rFonts w:ascii="Source Sans Pro" w:hAnsi="Source Sans Pro"/>
          <w:sz w:val="22"/>
          <w:szCs w:val="22"/>
        </w:rPr>
        <w:t> </w:t>
      </w:r>
      <w:r w:rsidRPr="005932AD">
        <w:rPr>
          <w:rFonts w:ascii="Source Sans Pro" w:hAnsi="Source Sans Pro"/>
          <w:sz w:val="22"/>
          <w:szCs w:val="22"/>
        </w:rPr>
        <w:t xml:space="preserve">rather nice time of year, because May is a special, especially mid-May is a special period for our Group, as we have just </w:t>
      </w:r>
      <w:r w:rsidR="00CA5AF8">
        <w:rPr>
          <w:rFonts w:ascii="Source Sans Pro" w:hAnsi="Source Sans Pro"/>
          <w:sz w:val="22"/>
          <w:szCs w:val="22"/>
        </w:rPr>
        <w:t>reached</w:t>
      </w:r>
      <w:r w:rsidR="00CA5AF8" w:rsidRPr="005932AD">
        <w:rPr>
          <w:rFonts w:ascii="Source Sans Pro" w:hAnsi="Source Sans Pro"/>
          <w:sz w:val="22"/>
          <w:szCs w:val="22"/>
        </w:rPr>
        <w:t xml:space="preserve"> </w:t>
      </w:r>
      <w:r w:rsidRPr="005932AD">
        <w:rPr>
          <w:rFonts w:ascii="Source Sans Pro" w:hAnsi="Source Sans Pro"/>
          <w:sz w:val="22"/>
          <w:szCs w:val="22"/>
        </w:rPr>
        <w:t>16 years since our stock market debut, so today I get to make my debut at a meeting with you. It works out nicely.</w:t>
      </w:r>
    </w:p>
    <w:p w14:paraId="62075E12" w14:textId="6573A64B" w:rsidR="002F7935"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Turning to more important matters, I would like to come back to the subject of the dividend that Bogdan mentioned. Yesterday</w:t>
      </w:r>
      <w:r w:rsidR="002F7935">
        <w:rPr>
          <w:rFonts w:ascii="Source Sans Pro" w:hAnsi="Source Sans Pro"/>
          <w:sz w:val="22"/>
          <w:szCs w:val="22"/>
        </w:rPr>
        <w:t>,</w:t>
      </w:r>
      <w:r w:rsidRPr="005932AD">
        <w:rPr>
          <w:rFonts w:ascii="Source Sans Pro" w:hAnsi="Source Sans Pro"/>
          <w:sz w:val="22"/>
          <w:szCs w:val="22"/>
        </w:rPr>
        <w:t xml:space="preserve"> we recommended allocating PLN</w:t>
      </w:r>
      <w:r w:rsidR="002F7935">
        <w:rPr>
          <w:rFonts w:ascii="Source Sans Pro" w:hAnsi="Source Sans Pro"/>
          <w:sz w:val="22"/>
          <w:szCs w:val="22"/>
        </w:rPr>
        <w:t> </w:t>
      </w:r>
      <w:r w:rsidRPr="005932AD">
        <w:rPr>
          <w:rFonts w:ascii="Source Sans Pro" w:hAnsi="Source Sans Pro"/>
          <w:sz w:val="22"/>
          <w:szCs w:val="22"/>
        </w:rPr>
        <w:t>4.80 per share as a dividend. One further comment from my side is that in formulating this recommendation we looked very much to the future, in order to provide both for the announced acquisition in Ukraine – conditional, of course, on all the approvals that still have to be obtained – and also for the fact that in 2027 we face regulatory changes, in particular as regards the treatment of capital buffers for the banking sector in the calculation of our Group’s solvency. In proposing this particular dividend amount, we are entirely comfortable and confident that next year, too, after those changes, the PZU Group will maintain very safe solvency levels, and that our status as a dividend company consistently pursuing its policy in this area is unshaken and will remain unshaken next year as well.</w:t>
      </w:r>
    </w:p>
    <w:p w14:paraId="40EEB92E" w14:textId="47B66E75"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Turning now</w:t>
      </w:r>
      <w:r w:rsidR="00627220">
        <w:rPr>
          <w:rFonts w:ascii="Source Sans Pro" w:hAnsi="Source Sans Pro"/>
          <w:sz w:val="22"/>
          <w:szCs w:val="22"/>
        </w:rPr>
        <w:t>,</w:t>
      </w:r>
      <w:r w:rsidRPr="005932AD">
        <w:rPr>
          <w:rFonts w:ascii="Source Sans Pro" w:hAnsi="Source Sans Pro"/>
          <w:sz w:val="22"/>
          <w:szCs w:val="22"/>
        </w:rPr>
        <w:t xml:space="preserve"> more specifically</w:t>
      </w:r>
      <w:r w:rsidR="00627220">
        <w:rPr>
          <w:rFonts w:ascii="Source Sans Pro" w:hAnsi="Source Sans Pro"/>
          <w:sz w:val="22"/>
          <w:szCs w:val="22"/>
        </w:rPr>
        <w:t>,</w:t>
      </w:r>
      <w:r w:rsidRPr="005932AD">
        <w:rPr>
          <w:rFonts w:ascii="Source Sans Pro" w:hAnsi="Source Sans Pro"/>
          <w:sz w:val="22"/>
          <w:szCs w:val="22"/>
        </w:rPr>
        <w:t xml:space="preserve"> to the first-quarter results, they could be summed up as follows: a</w:t>
      </w:r>
      <w:r w:rsidR="002F7935">
        <w:rPr>
          <w:rFonts w:ascii="Source Sans Pro" w:hAnsi="Source Sans Pro"/>
          <w:sz w:val="22"/>
          <w:szCs w:val="22"/>
        </w:rPr>
        <w:t> </w:t>
      </w:r>
      <w:r w:rsidRPr="005932AD">
        <w:rPr>
          <w:rFonts w:ascii="Source Sans Pro" w:hAnsi="Source Sans Pro"/>
          <w:sz w:val="22"/>
          <w:szCs w:val="22"/>
        </w:rPr>
        <w:t>well-balanced operating business producing very solid core metrics, namely the combined ratio and the margin in life insurance, secured for us a profit attributable to the parent company’s shareholders from non-banking business at a very good level of PLN</w:t>
      </w:r>
      <w:r w:rsidR="00530ACE">
        <w:rPr>
          <w:rFonts w:ascii="Source Sans Pro" w:hAnsi="Source Sans Pro"/>
          <w:sz w:val="22"/>
          <w:szCs w:val="22"/>
        </w:rPr>
        <w:t> </w:t>
      </w:r>
      <w:r w:rsidRPr="005932AD">
        <w:rPr>
          <w:rFonts w:ascii="Source Sans Pro" w:hAnsi="Source Sans Pro"/>
          <w:sz w:val="22"/>
          <w:szCs w:val="22"/>
        </w:rPr>
        <w:t>987</w:t>
      </w:r>
      <w:r w:rsidR="00530ACE">
        <w:rPr>
          <w:rFonts w:ascii="Source Sans Pro" w:hAnsi="Source Sans Pro"/>
          <w:sz w:val="22"/>
          <w:szCs w:val="22"/>
        </w:rPr>
        <w:t> </w:t>
      </w:r>
      <w:r w:rsidRPr="005932AD">
        <w:rPr>
          <w:rFonts w:ascii="Source Sans Pro" w:hAnsi="Source Sans Pro"/>
          <w:sz w:val="22"/>
          <w:szCs w:val="22"/>
        </w:rPr>
        <w:t>m, that is PLN</w:t>
      </w:r>
      <w:r w:rsidR="00530ACE">
        <w:rPr>
          <w:rFonts w:ascii="Source Sans Pro" w:hAnsi="Source Sans Pro"/>
          <w:sz w:val="22"/>
          <w:szCs w:val="22"/>
        </w:rPr>
        <w:t> </w:t>
      </w:r>
      <w:r w:rsidRPr="005932AD">
        <w:rPr>
          <w:rFonts w:ascii="Source Sans Pro" w:hAnsi="Source Sans Pro"/>
          <w:sz w:val="22"/>
          <w:szCs w:val="22"/>
        </w:rPr>
        <w:t>100</w:t>
      </w:r>
      <w:r w:rsidR="00530ACE">
        <w:rPr>
          <w:rFonts w:ascii="Source Sans Pro" w:hAnsi="Source Sans Pro"/>
          <w:sz w:val="22"/>
          <w:szCs w:val="22"/>
        </w:rPr>
        <w:t> </w:t>
      </w:r>
      <w:r w:rsidRPr="005932AD">
        <w:rPr>
          <w:rFonts w:ascii="Source Sans Pro" w:hAnsi="Source Sans Pro"/>
          <w:sz w:val="22"/>
          <w:szCs w:val="22"/>
        </w:rPr>
        <w:t>m more than in the previous quarter. If we look at the PZU Group’s business as a whole, that is including the banking arm, that result came to, as CEO Bogdan mentioned, almost PLN</w:t>
      </w:r>
      <w:r w:rsidR="00530ACE">
        <w:rPr>
          <w:rFonts w:ascii="Source Sans Pro" w:hAnsi="Source Sans Pro"/>
          <w:sz w:val="22"/>
          <w:szCs w:val="22"/>
        </w:rPr>
        <w:t> </w:t>
      </w:r>
      <w:r w:rsidRPr="005932AD">
        <w:rPr>
          <w:rFonts w:ascii="Source Sans Pro" w:hAnsi="Source Sans Pro"/>
          <w:sz w:val="22"/>
          <w:szCs w:val="22"/>
        </w:rPr>
        <w:t>1.4</w:t>
      </w:r>
      <w:r w:rsidR="00530ACE">
        <w:rPr>
          <w:rFonts w:ascii="Source Sans Pro" w:hAnsi="Source Sans Pro"/>
          <w:sz w:val="22"/>
          <w:szCs w:val="22"/>
        </w:rPr>
        <w:t> </w:t>
      </w:r>
      <w:r w:rsidRPr="005932AD">
        <w:rPr>
          <w:rFonts w:ascii="Source Sans Pro" w:hAnsi="Source Sans Pro"/>
          <w:sz w:val="22"/>
          <w:szCs w:val="22"/>
        </w:rPr>
        <w:t>bn, PLN</w:t>
      </w:r>
      <w:r w:rsidR="00530ACE">
        <w:rPr>
          <w:rFonts w:ascii="Source Sans Pro" w:hAnsi="Source Sans Pro"/>
          <w:sz w:val="22"/>
          <w:szCs w:val="22"/>
        </w:rPr>
        <w:t> </w:t>
      </w:r>
      <w:r w:rsidRPr="005932AD">
        <w:rPr>
          <w:rFonts w:ascii="Source Sans Pro" w:hAnsi="Source Sans Pro"/>
          <w:sz w:val="22"/>
          <w:szCs w:val="22"/>
        </w:rPr>
        <w:t>1.362</w:t>
      </w:r>
      <w:r w:rsidR="00530ACE">
        <w:rPr>
          <w:rFonts w:ascii="Source Sans Pro" w:hAnsi="Source Sans Pro"/>
          <w:sz w:val="22"/>
          <w:szCs w:val="22"/>
        </w:rPr>
        <w:t> </w:t>
      </w:r>
      <w:r w:rsidRPr="005932AD">
        <w:rPr>
          <w:rFonts w:ascii="Source Sans Pro" w:hAnsi="Source Sans Pro"/>
          <w:sz w:val="22"/>
          <w:szCs w:val="22"/>
        </w:rPr>
        <w:t xml:space="preserve">bn to be precise. These results reflect – and I think you know this very well – things that were expected and fairly well known. I will not dwell on them at length. Take the changes in WIBOR rates: the first quarter of 2026 versus the first quarter of 2025 is a world apart. That had to be reflected in the PZU </w:t>
      </w:r>
      <w:r w:rsidRPr="005932AD">
        <w:rPr>
          <w:rFonts w:ascii="Source Sans Pro" w:hAnsi="Source Sans Pro"/>
          <w:sz w:val="22"/>
          <w:szCs w:val="22"/>
        </w:rPr>
        <w:lastRenderedPageBreak/>
        <w:t>Group’s results. On the other hand, there are effects such as the taxation of the banking sector or other phasing of mandatory levies. But the banks have already published their results, you know them, so I would rather not focus on that. What I do want to focus on is what shapes the results of the insurance arm of our business. Year on year, our revenue is growing by 3.2%. As has already been said, that is the highest figure in the PZU Group’s history in terms of quarterly revenue; in net terms</w:t>
      </w:r>
      <w:r w:rsidR="004163AB">
        <w:rPr>
          <w:rFonts w:ascii="Source Sans Pro" w:hAnsi="Source Sans Pro"/>
          <w:sz w:val="22"/>
          <w:szCs w:val="22"/>
        </w:rPr>
        <w:t>,</w:t>
      </w:r>
      <w:r w:rsidRPr="005932AD">
        <w:rPr>
          <w:rFonts w:ascii="Source Sans Pro" w:hAnsi="Source Sans Pro"/>
          <w:sz w:val="22"/>
          <w:szCs w:val="22"/>
        </w:rPr>
        <w:t xml:space="preserve"> this revenue is growing even faster, which means that the amounts ceded under reinsurance contracts are lower this year than last, hence the improvement in the growth rate in net terms. If we look at the profitability metrics shown on the next slide, there is quite a lot worth commenting on, and I would like to address it.</w:t>
      </w:r>
    </w:p>
    <w:p w14:paraId="2142EFA8" w14:textId="6406F64E"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We delivered a very good combined ratio of 86.8 for the Group as a whole in non-life insurance. As you also know very well, this is a level that is often out of reach for many of our competitors, whereas we manage to deliver it repeatedly. If we look at the individual components that make up this result, several factors are worth noting in the first quarter of 2026. The first is the matter of the winter, which Bogdan has already mentioned as well. We are all aware, of course, that this year’s winter was not extraordinary, although it was very different from the last few. As a result, when we compare year on year, this is something worth explaining. It is in no way, however, a catastrophic effect for our results. What is worth mentioning is a comment specifically on those lines of business in which these events were particularly reflected. It is also worth noting that this effect was felt not only in the non-life portfolio in Poland. The same phenomenon affected the Baltic States quite strongly. First, crop insurance, where the negative effects of overwintering, absent from the market for the past several years, did in fact produce claims this year. The second element is property insurance, where mainly the weight of snow, damage or softening of walls, and possibly claims relating to heating installations and to damage and failures in those components, simply cost more this year than last. What is usually of most interest, that is motor insurance, was also affected to some extent by purely climatic conditions. Here</w:t>
      </w:r>
      <w:r w:rsidR="002D6B37">
        <w:rPr>
          <w:rFonts w:ascii="Source Sans Pro" w:hAnsi="Source Sans Pro"/>
          <w:sz w:val="22"/>
          <w:szCs w:val="22"/>
        </w:rPr>
        <w:t>,</w:t>
      </w:r>
      <w:r w:rsidRPr="005932AD">
        <w:rPr>
          <w:rFonts w:ascii="Source Sans Pro" w:hAnsi="Source Sans Pro"/>
          <w:sz w:val="22"/>
          <w:szCs w:val="22"/>
        </w:rPr>
        <w:t xml:space="preserve"> it is worth mentioning that we identify a different effect in motor TPL and in motor own damage. In both of these product lines, however, in order to comment on the results</w:t>
      </w:r>
      <w:r w:rsidR="002D6B37">
        <w:rPr>
          <w:rFonts w:ascii="Source Sans Pro" w:hAnsi="Source Sans Pro"/>
          <w:sz w:val="22"/>
          <w:szCs w:val="22"/>
        </w:rPr>
        <w:t>,</w:t>
      </w:r>
      <w:r w:rsidRPr="005932AD">
        <w:rPr>
          <w:rFonts w:ascii="Source Sans Pro" w:hAnsi="Source Sans Pro"/>
          <w:sz w:val="22"/>
          <w:szCs w:val="22"/>
        </w:rPr>
        <w:t xml:space="preserve"> I have to give a broader perspective than weather conditions alone. So, in motor TPL we recorded a lower claims frequency in the first quarter than a year earlier. That is very good news. The second element, which has also been mentioned here already, is that we are beginning to see measurable financial benefits from the changes in our claims handling processes. Faster processes and a higher percentage of cases closed by amicable settlement translate into better claims development, into better development in the triangles we use to project the future value of claims </w:t>
      </w:r>
      <w:r w:rsidRPr="005932AD">
        <w:rPr>
          <w:rFonts w:ascii="Source Sans Pro" w:hAnsi="Source Sans Pro"/>
          <w:sz w:val="22"/>
          <w:szCs w:val="22"/>
        </w:rPr>
        <w:lastRenderedPageBreak/>
        <w:t>from the existing portfolio of events. These positive effects, both the lower claims frequency in motor TPL and the better claims development, allowed us to offset to a significant degree the effect of the gap between the trajectory of the average market premium, and of the average premium in our own portfolio, and the level of claims inflation. That is good news, and hence the result, the combined ratio in motor TPL insurance, is so good; in mass insurance that effect was, as you can see, a combined ratio of 93%. In corporate insurance this effect is decidedly smaller. As for motor own damage, weather factors clearly did affect the higher frequency, although of course motor own damage is not driven by weather factors alone. For many quarters now, roughly since the beginning of last year, the growth rate of the average market premium has been negative, and this pressure on motor own damage insurance is visible and is also eroding the margin in our portfolio. What is important, and what we have done, is that we are investing heavily in our pricing procedures</w:t>
      </w:r>
      <w:r w:rsidR="002D6B37">
        <w:rPr>
          <w:rFonts w:ascii="Source Sans Pro" w:hAnsi="Source Sans Pro"/>
          <w:sz w:val="22"/>
          <w:szCs w:val="22"/>
        </w:rPr>
        <w:t>,</w:t>
      </w:r>
      <w:r w:rsidRPr="005932AD">
        <w:rPr>
          <w:rFonts w:ascii="Source Sans Pro" w:hAnsi="Source Sans Pro"/>
          <w:sz w:val="22"/>
          <w:szCs w:val="22"/>
        </w:rPr>
        <w:t xml:space="preserve"> so as to be able to respond to this market pressure, because both we and you remember that a client looking for comprehensive insurance protection, so in particular one who has both motor own damage coverage and additional car-related coverages, and also non-motor policies, home insurance for instance, travel insurance, and often small and medium-sized enterprises, is our target client; that is the client segment in which we identify particular value, and in caring for that value in the short, medium, and long term</w:t>
      </w:r>
      <w:r w:rsidR="002D6B37">
        <w:rPr>
          <w:rFonts w:ascii="Source Sans Pro" w:hAnsi="Source Sans Pro"/>
          <w:sz w:val="22"/>
          <w:szCs w:val="22"/>
        </w:rPr>
        <w:t>,</w:t>
      </w:r>
      <w:r w:rsidRPr="005932AD">
        <w:rPr>
          <w:rFonts w:ascii="Source Sans Pro" w:hAnsi="Source Sans Pro"/>
          <w:sz w:val="22"/>
          <w:szCs w:val="22"/>
        </w:rPr>
        <w:t xml:space="preserve"> our response here has to be appropriate. And that is the factor which, as you can see, had a material, significant impact on the profitability and the result delivered by the motor own damage segment. If you analyze our results closely, you will also see that we recognized a loss component in this segment. And the loss component itself is also an important element that is probably worth commenting on generally when we analyze results year on year, because that comparison looks as follows: this year we added a total of PLN</w:t>
      </w:r>
      <w:r w:rsidR="00B23EC7">
        <w:rPr>
          <w:rFonts w:ascii="Source Sans Pro" w:hAnsi="Source Sans Pro"/>
          <w:sz w:val="22"/>
          <w:szCs w:val="22"/>
        </w:rPr>
        <w:t> </w:t>
      </w:r>
      <w:r w:rsidRPr="005932AD">
        <w:rPr>
          <w:rFonts w:ascii="Source Sans Pro" w:hAnsi="Source Sans Pro"/>
          <w:sz w:val="22"/>
          <w:szCs w:val="22"/>
        </w:rPr>
        <w:t>63</w:t>
      </w:r>
      <w:r w:rsidR="00B23EC7">
        <w:rPr>
          <w:rFonts w:ascii="Source Sans Pro" w:hAnsi="Source Sans Pro"/>
          <w:sz w:val="22"/>
          <w:szCs w:val="22"/>
        </w:rPr>
        <w:t> </w:t>
      </w:r>
      <w:r w:rsidRPr="005932AD">
        <w:rPr>
          <w:rFonts w:ascii="Source Sans Pro" w:hAnsi="Source Sans Pro"/>
          <w:sz w:val="22"/>
          <w:szCs w:val="22"/>
        </w:rPr>
        <w:t>m to the PZU Group’s loss component. Last year</w:t>
      </w:r>
      <w:r w:rsidR="00A82D78">
        <w:rPr>
          <w:rFonts w:ascii="Source Sans Pro" w:hAnsi="Source Sans Pro"/>
          <w:sz w:val="22"/>
          <w:szCs w:val="22"/>
        </w:rPr>
        <w:t>,</w:t>
      </w:r>
      <w:r w:rsidRPr="005932AD">
        <w:rPr>
          <w:rFonts w:ascii="Source Sans Pro" w:hAnsi="Source Sans Pro"/>
          <w:sz w:val="22"/>
          <w:szCs w:val="22"/>
        </w:rPr>
        <w:t xml:space="preserve"> the movement was in the opposite direction, in the amount of PLN</w:t>
      </w:r>
      <w:r w:rsidR="00A82D78">
        <w:rPr>
          <w:rFonts w:ascii="Source Sans Pro" w:hAnsi="Source Sans Pro"/>
          <w:sz w:val="22"/>
          <w:szCs w:val="22"/>
        </w:rPr>
        <w:t> </w:t>
      </w:r>
      <w:r w:rsidRPr="005932AD">
        <w:rPr>
          <w:rFonts w:ascii="Source Sans Pro" w:hAnsi="Source Sans Pro"/>
          <w:sz w:val="22"/>
          <w:szCs w:val="22"/>
        </w:rPr>
        <w:t>64</w:t>
      </w:r>
      <w:r w:rsidR="00A82D78">
        <w:rPr>
          <w:rFonts w:ascii="Source Sans Pro" w:hAnsi="Source Sans Pro"/>
          <w:sz w:val="22"/>
          <w:szCs w:val="22"/>
        </w:rPr>
        <w:t> </w:t>
      </w:r>
      <w:r w:rsidRPr="005932AD">
        <w:rPr>
          <w:rFonts w:ascii="Source Sans Pro" w:hAnsi="Source Sans Pro"/>
          <w:sz w:val="22"/>
          <w:szCs w:val="22"/>
        </w:rPr>
        <w:t>m, so the delta on this component, looking at results year on year, is PLN</w:t>
      </w:r>
      <w:r w:rsidR="00A82D78">
        <w:rPr>
          <w:rFonts w:ascii="Source Sans Pro" w:hAnsi="Source Sans Pro"/>
          <w:sz w:val="22"/>
          <w:szCs w:val="22"/>
        </w:rPr>
        <w:t> </w:t>
      </w:r>
      <w:r w:rsidRPr="005932AD">
        <w:rPr>
          <w:rFonts w:ascii="Source Sans Pro" w:hAnsi="Source Sans Pro"/>
          <w:sz w:val="22"/>
          <w:szCs w:val="22"/>
        </w:rPr>
        <w:t>127</w:t>
      </w:r>
      <w:r w:rsidR="00A82D78">
        <w:rPr>
          <w:rFonts w:ascii="Source Sans Pro" w:hAnsi="Source Sans Pro"/>
          <w:sz w:val="22"/>
          <w:szCs w:val="22"/>
        </w:rPr>
        <w:t> </w:t>
      </w:r>
      <w:r w:rsidRPr="005932AD">
        <w:rPr>
          <w:rFonts w:ascii="Source Sans Pro" w:hAnsi="Source Sans Pro"/>
          <w:sz w:val="22"/>
          <w:szCs w:val="22"/>
        </w:rPr>
        <w:t xml:space="preserve">m, which you can also find in our financial statements. It is worth emphasizing, however, that despite this impact of climate and weather events, the profitability of non-motor products, in both the mass segment and the corporate segment, is very good. 80% on what we call non-motor in the mass segment and slightly above 50% in corporate insurance are very satisfactory results, which we are very pleased with. All the more so because it is precisely house and apartment insurance and insurance for SMEs that are the growth engines where we are growing at double-digit rates, and that pleases us greatly, and it is also a good outlook. We are growing not only in value terms; we are growing in the number of clients, we are also growing in the average premium, and we are growing in the sum insured per </w:t>
      </w:r>
      <w:r w:rsidRPr="005932AD">
        <w:rPr>
          <w:rFonts w:ascii="Source Sans Pro" w:hAnsi="Source Sans Pro"/>
          <w:sz w:val="22"/>
          <w:szCs w:val="22"/>
        </w:rPr>
        <w:lastRenderedPageBreak/>
        <w:t>policy, which is also good news for us from the perspective of profitability, but also from the perspective of building a good perception of our offering among clients, because nothing damages that perception more than the conclusion, at the moment of a claim, that the sum insured was inadequate. And at the PZU Group we take great care to ensure that the sum insured is always adequate.</w:t>
      </w:r>
    </w:p>
    <w:p w14:paraId="1FF0C09F" w14:textId="3C5862DC"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Ladies and gentlemen, if we look at life insurance, this is the gem of the quarter, which contributed very positively to our results, both in terms of revenue growth – as you can see, 7.6% year on year across all segments – and in terms of profitability, where a 25% margin with a growing top line is a</w:t>
      </w:r>
      <w:r w:rsidR="00A82D78">
        <w:t> </w:t>
      </w:r>
      <w:r w:rsidRPr="005932AD">
        <w:rPr>
          <w:rFonts w:ascii="Source Sans Pro" w:hAnsi="Source Sans Pro"/>
          <w:sz w:val="22"/>
          <w:szCs w:val="22"/>
        </w:rPr>
        <w:t>very good result. What pleases us particularly is the dynamic growth of individual insurance. In recent weeks</w:t>
      </w:r>
      <w:r w:rsidR="00A82D78">
        <w:rPr>
          <w:rFonts w:ascii="Source Sans Pro" w:hAnsi="Source Sans Pro"/>
          <w:sz w:val="22"/>
          <w:szCs w:val="22"/>
        </w:rPr>
        <w:t>,</w:t>
      </w:r>
      <w:r w:rsidRPr="005932AD">
        <w:rPr>
          <w:rFonts w:ascii="Source Sans Pro" w:hAnsi="Source Sans Pro"/>
          <w:sz w:val="22"/>
          <w:szCs w:val="22"/>
        </w:rPr>
        <w:t xml:space="preserve"> we celebrated passing the half-million mark in the number of policies, in the number of live, active clients in individual protective insurance. And, as you can see, a product line that is growing fast and generating a high margin is a great source of satisfaction. But in group and individually continued insurance as well</w:t>
      </w:r>
      <w:r w:rsidR="00A82D78">
        <w:rPr>
          <w:rFonts w:ascii="Source Sans Pro" w:hAnsi="Source Sans Pro"/>
          <w:sz w:val="22"/>
          <w:szCs w:val="22"/>
        </w:rPr>
        <w:t>,</w:t>
      </w:r>
      <w:r w:rsidRPr="005932AD">
        <w:rPr>
          <w:rFonts w:ascii="Source Sans Pro" w:hAnsi="Source Sans Pro"/>
          <w:sz w:val="22"/>
          <w:szCs w:val="22"/>
        </w:rPr>
        <w:t xml:space="preserve"> we can speak of solid growth, which in a sense breaks the somewhat inexorable demographic trends we are seeing in Poland. Our Group, however, is able to sell actively, to cross-sell</w:t>
      </w:r>
      <w:r w:rsidR="00A82D78">
        <w:rPr>
          <w:rFonts w:ascii="Source Sans Pro" w:hAnsi="Source Sans Pro"/>
          <w:sz w:val="22"/>
          <w:szCs w:val="22"/>
        </w:rPr>
        <w:t>,</w:t>
      </w:r>
      <w:r w:rsidRPr="005932AD">
        <w:rPr>
          <w:rFonts w:ascii="Source Sans Pro" w:hAnsi="Source Sans Pro"/>
          <w:sz w:val="22"/>
          <w:szCs w:val="22"/>
        </w:rPr>
        <w:t xml:space="preserve"> and to adjust the scope of coverage to clients’ needs, which do after all change, including under the influence of demographic factors, and on that basis</w:t>
      </w:r>
      <w:r w:rsidR="00A82D78">
        <w:rPr>
          <w:rFonts w:ascii="Source Sans Pro" w:hAnsi="Source Sans Pro"/>
          <w:sz w:val="22"/>
          <w:szCs w:val="22"/>
        </w:rPr>
        <w:t>,</w:t>
      </w:r>
      <w:r w:rsidRPr="005932AD">
        <w:rPr>
          <w:rFonts w:ascii="Source Sans Pro" w:hAnsi="Source Sans Pro"/>
          <w:sz w:val="22"/>
          <w:szCs w:val="22"/>
        </w:rPr>
        <w:t xml:space="preserve"> we are generating revenue growth and very stable, solid profitability, with a margin of 21.7%. And this despite the fact that in this particular segment the contribution from investment results decreased significantly, because the year-on-year difference is as much as PLN</w:t>
      </w:r>
      <w:r w:rsidR="00A82D78">
        <w:rPr>
          <w:rFonts w:ascii="Source Sans Pro" w:hAnsi="Source Sans Pro"/>
          <w:sz w:val="22"/>
          <w:szCs w:val="22"/>
        </w:rPr>
        <w:t> </w:t>
      </w:r>
      <w:r w:rsidRPr="005932AD">
        <w:rPr>
          <w:rFonts w:ascii="Source Sans Pro" w:hAnsi="Source Sans Pro"/>
          <w:sz w:val="22"/>
          <w:szCs w:val="22"/>
        </w:rPr>
        <w:t>60</w:t>
      </w:r>
      <w:r w:rsidR="00A82D78">
        <w:rPr>
          <w:rFonts w:ascii="Source Sans Pro" w:hAnsi="Source Sans Pro"/>
          <w:sz w:val="22"/>
          <w:szCs w:val="22"/>
        </w:rPr>
        <w:t> </w:t>
      </w:r>
      <w:r w:rsidRPr="005932AD">
        <w:rPr>
          <w:rFonts w:ascii="Source Sans Pro" w:hAnsi="Source Sans Pro"/>
          <w:sz w:val="22"/>
          <w:szCs w:val="22"/>
        </w:rPr>
        <w:t>m. What pleased us greatly and had a</w:t>
      </w:r>
      <w:r w:rsidR="00A82D78">
        <w:rPr>
          <w:rFonts w:ascii="Source Sans Pro" w:hAnsi="Source Sans Pro"/>
          <w:sz w:val="22"/>
          <w:szCs w:val="22"/>
        </w:rPr>
        <w:t> </w:t>
      </w:r>
      <w:r w:rsidRPr="005932AD">
        <w:rPr>
          <w:rFonts w:ascii="Source Sans Pro" w:hAnsi="Source Sans Pro"/>
          <w:sz w:val="22"/>
          <w:szCs w:val="22"/>
        </w:rPr>
        <w:t>positive impact on the result was lower mortality and, consequently, lower benefit payments on that account.</w:t>
      </w:r>
    </w:p>
    <w:p w14:paraId="721A5D43" w14:textId="24C97734"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A brief look at the investment result. In this quarter</w:t>
      </w:r>
      <w:r w:rsidR="00A82D78">
        <w:rPr>
          <w:rFonts w:ascii="Source Sans Pro" w:hAnsi="Source Sans Pro"/>
          <w:sz w:val="22"/>
          <w:szCs w:val="22"/>
        </w:rPr>
        <w:t>,</w:t>
      </w:r>
      <w:r w:rsidRPr="005932AD">
        <w:rPr>
          <w:rFonts w:ascii="Source Sans Pro" w:hAnsi="Source Sans Pro"/>
          <w:sz w:val="22"/>
          <w:szCs w:val="22"/>
        </w:rPr>
        <w:t xml:space="preserve"> we generated an annualized return of 4.8%. This is the result of a stable, safe investment portfolio structure. 87% of the entire main portfolio – and here we have to remember that this is what we are looking at, that is also excluding the banking business – is debt instruments. Treasury debt accounts for 73% of the portfolio. Late last year</w:t>
      </w:r>
      <w:r w:rsidR="00A82D78">
        <w:rPr>
          <w:rFonts w:ascii="Source Sans Pro" w:hAnsi="Source Sans Pro"/>
          <w:sz w:val="22"/>
          <w:szCs w:val="22"/>
        </w:rPr>
        <w:t>,</w:t>
      </w:r>
      <w:r w:rsidRPr="005932AD">
        <w:rPr>
          <w:rFonts w:ascii="Source Sans Pro" w:hAnsi="Source Sans Pro"/>
          <w:sz w:val="22"/>
          <w:szCs w:val="22"/>
        </w:rPr>
        <w:t xml:space="preserve"> we took various measures to stabilize the level of interest income from debt instruments. That is why, as you can see, despite lower interest rate levels, particularly in the first two months of the quarter, because we all know that March was quite different, our interest income is very stable both year on year and quarter on quarter as well. Where there is a certain positive deviation in the results, it is in the valuation and realization of securities, whereas the negative deviation year on year is on equity instruments. Questions sometimes arise as to how this happens and how it relates to the stock market indices. Please remember that our equity portfolio consists of individual exposures, and </w:t>
      </w:r>
      <w:r w:rsidRPr="005932AD">
        <w:rPr>
          <w:rFonts w:ascii="Source Sans Pro" w:hAnsi="Source Sans Pro"/>
          <w:sz w:val="22"/>
          <w:szCs w:val="22"/>
        </w:rPr>
        <w:lastRenderedPageBreak/>
        <w:t>those individual exposures do not necessarily move in line with the indices. It is a fact that last year performance here was exceptionally strong, and this year it is less favorable. What I would like to comment on is the lower level of income from the real estate portfolio. And</w:t>
      </w:r>
      <w:r w:rsidR="00A82D78">
        <w:rPr>
          <w:rFonts w:ascii="Source Sans Pro" w:hAnsi="Source Sans Pro"/>
          <w:sz w:val="22"/>
          <w:szCs w:val="22"/>
        </w:rPr>
        <w:t>,</w:t>
      </w:r>
      <w:r w:rsidRPr="005932AD">
        <w:rPr>
          <w:rFonts w:ascii="Source Sans Pro" w:hAnsi="Source Sans Pro"/>
          <w:sz w:val="22"/>
          <w:szCs w:val="22"/>
        </w:rPr>
        <w:t xml:space="preserve"> this is exclusively connected with the hedging of cash flows, because the cash flows from the real estate portfolio are foreign currency flows. We hedge them and therefore benefit from swap points. Those swap points were much higher last year. In the first quarter, for most of the quarter, the swap points were already significantly lower, and that is the factor affecting the results. One more comment on the “other” line that you can see in the table. This year it was negative in the first quarter, but the vast majority of the amount you can see there in the table is a temporary effect. The specific nature of our portfolio and of the way it is hedged is such that in quarters other than the half-year and the year-end we see volatility that reverses one for one in the following quarter, so in a sense I could say that this -50 is temporary and will disappear next quarter.</w:t>
      </w:r>
    </w:p>
    <w:p w14:paraId="7878DACF"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 xml:space="preserve">Turning to the motor market, a few words here by way of a look ahead, or of what we are observing. The upper chart clearly shows that price pressure is persisting and even intensified in the first quarter. Since the end of the first quarter, however, we have been seeing mixed, or conflicting, signals. On the one hand, there appear to be signs of a certain rationalization in the market’s approach to pricing risk in both motor TPL and motor own damage. That is good news, good for us and good for the market as a whole. As for the conflicting signals, there are new entrants to our market, and our impression is that their attempts may be similar to those seen historically, that is capturing market share through relatively low prices, which of course affects the competitiveness of the offers presented, particularly in external channels. And here, too, it is worth emphasizing PZU’s strength: our internal channels and the ability to sell through our own channels, which is somewhat less exposed to that pressure. On life insurance, we are maintaining a stable, very high, dominant market share in periodic premium insurance, above 40%. In single premium insurance our market share is higher still. We are of course aware, however, that the single premium market is very volatile, hence our focus is primarily on the first of these metrics. As for the health pillar, Bogdan has already mentioned growing revenue, so I would like to focus on our initiatives and their effects in terms of process efficiency and the related cost efficiency, that is above all the changes in our digital offering for handling medical insurance, or medical services more broadly, implemented in </w:t>
      </w:r>
      <w:proofErr w:type="spellStart"/>
      <w:r w:rsidRPr="005932AD">
        <w:rPr>
          <w:rFonts w:ascii="Source Sans Pro" w:hAnsi="Source Sans Pro"/>
          <w:sz w:val="22"/>
          <w:szCs w:val="22"/>
        </w:rPr>
        <w:t>mojePZU</w:t>
      </w:r>
      <w:proofErr w:type="spellEnd"/>
      <w:r w:rsidRPr="005932AD">
        <w:rPr>
          <w:rFonts w:ascii="Source Sans Pro" w:hAnsi="Source Sans Pro"/>
          <w:sz w:val="22"/>
          <w:szCs w:val="22"/>
        </w:rPr>
        <w:t xml:space="preserve">; these are contributing to the fact that appointments booked online through </w:t>
      </w:r>
      <w:proofErr w:type="spellStart"/>
      <w:r w:rsidRPr="005932AD">
        <w:rPr>
          <w:rFonts w:ascii="Source Sans Pro" w:hAnsi="Source Sans Pro"/>
          <w:sz w:val="22"/>
          <w:szCs w:val="22"/>
        </w:rPr>
        <w:t>mojePZU</w:t>
      </w:r>
      <w:proofErr w:type="spellEnd"/>
      <w:r w:rsidRPr="005932AD">
        <w:rPr>
          <w:rFonts w:ascii="Source Sans Pro" w:hAnsi="Source Sans Pro"/>
          <w:sz w:val="22"/>
          <w:szCs w:val="22"/>
        </w:rPr>
        <w:t xml:space="preserve"> already account for 45%. We are not going to stop here, we are definitely aiming for more, because it is both more convenient for clients and, from our perspective, a decidedly better solution in terms </w:t>
      </w:r>
      <w:r w:rsidRPr="005932AD">
        <w:rPr>
          <w:rFonts w:ascii="Source Sans Pro" w:hAnsi="Source Sans Pro"/>
          <w:sz w:val="22"/>
          <w:szCs w:val="22"/>
        </w:rPr>
        <w:lastRenderedPageBreak/>
        <w:t>of cost. The same efficiency point applies to the percentage of teleconsultations, which is already very close to 100%, so the potential for further improvement here is gradually being exhausted. As for the referral rate to our own medical facilities, we have reached the balance point where half of the services are provided in our own medical facilities, and further steps to expand this network, whether by acquisition or by building new greenfield facilities, planned for the rest of this year, will certainly also contribute to improving these metrics. On assets under management, this has already been mentioned. I would only add on my own account that it gave us great satisfaction that in this quarter, in the first quarter of 2026, we could enjoy being number one in terms of new inflows into funds, not only among non-bank mutual fund companies but across the entire field. And here we attribute that position also to the fact that our business is geared toward, or has a large share of, long-term products, let us call them retirement or similar products, and that is something that contributes positively, because even in periods of increased volatility in the financial markets we can enjoy stable inflows into the funds managed by the PZU Group.</w:t>
      </w:r>
    </w:p>
    <w:p w14:paraId="4F6F209F" w14:textId="3FC1269A"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The last slide I would like to discuss before we move to questions concerns solvency. The 239% solvency ratio already mentioned is a very good indicator for the future, including in terms of absorbing the regulatory changes next year. Over the year</w:t>
      </w:r>
      <w:r w:rsidR="00DC1B5B">
        <w:rPr>
          <w:rFonts w:ascii="Source Sans Pro" w:hAnsi="Source Sans Pro"/>
          <w:sz w:val="22"/>
          <w:szCs w:val="22"/>
        </w:rPr>
        <w:t>,</w:t>
      </w:r>
      <w:r w:rsidRPr="005932AD">
        <w:rPr>
          <w:rFonts w:ascii="Source Sans Pro" w:hAnsi="Source Sans Pro"/>
          <w:sz w:val="22"/>
          <w:szCs w:val="22"/>
        </w:rPr>
        <w:t xml:space="preserve"> we generated PLN</w:t>
      </w:r>
      <w:r w:rsidR="00DC1B5B">
        <w:rPr>
          <w:rFonts w:ascii="Source Sans Pro" w:hAnsi="Source Sans Pro"/>
          <w:sz w:val="22"/>
          <w:szCs w:val="22"/>
        </w:rPr>
        <w:t> </w:t>
      </w:r>
      <w:r w:rsidRPr="005932AD">
        <w:rPr>
          <w:rFonts w:ascii="Source Sans Pro" w:hAnsi="Source Sans Pro"/>
          <w:sz w:val="22"/>
          <w:szCs w:val="22"/>
        </w:rPr>
        <w:t>4.5</w:t>
      </w:r>
      <w:r w:rsidR="00DC1B5B">
        <w:rPr>
          <w:rFonts w:ascii="Source Sans Pro" w:hAnsi="Source Sans Pro"/>
          <w:sz w:val="22"/>
          <w:szCs w:val="22"/>
        </w:rPr>
        <w:t> </w:t>
      </w:r>
      <w:r w:rsidRPr="005932AD">
        <w:rPr>
          <w:rFonts w:ascii="Source Sans Pro" w:hAnsi="Source Sans Pro"/>
          <w:sz w:val="22"/>
          <w:szCs w:val="22"/>
        </w:rPr>
        <w:t>bn of additional own funds, with capital requirements up by PLN</w:t>
      </w:r>
      <w:r w:rsidR="00DC1B5B">
        <w:rPr>
          <w:rFonts w:ascii="Source Sans Pro" w:hAnsi="Source Sans Pro"/>
          <w:sz w:val="22"/>
          <w:szCs w:val="22"/>
        </w:rPr>
        <w:t> </w:t>
      </w:r>
      <w:r w:rsidRPr="005932AD">
        <w:rPr>
          <w:rFonts w:ascii="Source Sans Pro" w:hAnsi="Source Sans Pro"/>
          <w:sz w:val="22"/>
          <w:szCs w:val="22"/>
        </w:rPr>
        <w:t>1.2</w:t>
      </w:r>
      <w:r w:rsidR="00DC1B5B">
        <w:rPr>
          <w:rFonts w:ascii="Source Sans Pro" w:hAnsi="Source Sans Pro"/>
          <w:sz w:val="22"/>
          <w:szCs w:val="22"/>
        </w:rPr>
        <w:t> </w:t>
      </w:r>
      <w:r w:rsidRPr="005932AD">
        <w:rPr>
          <w:rFonts w:ascii="Source Sans Pro" w:hAnsi="Source Sans Pro"/>
          <w:sz w:val="22"/>
          <w:szCs w:val="22"/>
        </w:rPr>
        <w:t>bn. That increase breaks down roughly as follows: around half could be attributed to the growth and development of the non-life insurance portfolio, here in particular as regards what is known as catastrophe risk. One quarter is the growth of market risk. Our portfolio grew by 10%. The capital requirement for market risk is growing at a</w:t>
      </w:r>
      <w:r w:rsidR="00424D0A">
        <w:rPr>
          <w:rFonts w:ascii="Source Sans Pro" w:hAnsi="Source Sans Pro"/>
          <w:sz w:val="22"/>
          <w:szCs w:val="22"/>
        </w:rPr>
        <w:t> </w:t>
      </w:r>
      <w:r w:rsidRPr="005932AD">
        <w:rPr>
          <w:rFonts w:ascii="Source Sans Pro" w:hAnsi="Source Sans Pro"/>
          <w:sz w:val="22"/>
          <w:szCs w:val="22"/>
        </w:rPr>
        <w:t>fairly similar pace. The remaining part I would attribute to capital requirements relating to the banks.</w:t>
      </w:r>
    </w:p>
    <w:p w14:paraId="7543637A"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We have mentioned before, from the first quarter, or beginning with the results for 2026, because these are the official figures as of the end of 2025, that we will want to start communicating with you by showing a hypothetical solvency ratio, that is what it would be if we applied the Solvency II changes. Even if it is not all the detailed changes, we would like to reflect the most important ones, those concerning the recognition of banking requirements. That is so that you can be comfortable, when reading these results, that even after this regulatory change the solvency and the dividend capacity of our Group will be at a very good level. That is all from me. Thank you very much.</w:t>
      </w:r>
    </w:p>
    <w:p w14:paraId="354C38DB" w14:textId="77777777" w:rsidR="0081171B" w:rsidRPr="005932AD" w:rsidRDefault="0081171B" w:rsidP="0081171B">
      <w:pPr>
        <w:spacing w:line="360" w:lineRule="auto"/>
        <w:jc w:val="both"/>
        <w:rPr>
          <w:rFonts w:ascii="Source Sans Pro" w:hAnsi="Source Sans Pro"/>
          <w:sz w:val="22"/>
          <w:szCs w:val="22"/>
        </w:rPr>
      </w:pPr>
    </w:p>
    <w:p w14:paraId="482DF503"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b/>
          <w:bCs/>
          <w:sz w:val="22"/>
          <w:szCs w:val="22"/>
        </w:rPr>
        <w:t>00:39:41 Magdalena Komaracka</w:t>
      </w:r>
    </w:p>
    <w:p w14:paraId="261D4A8F" w14:textId="7E334AB2"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lastRenderedPageBreak/>
        <w:t>Thank you very much for the presentation, and I encourage you to ask questions. Perhaps</w:t>
      </w:r>
      <w:r w:rsidR="00424D0A">
        <w:rPr>
          <w:rFonts w:ascii="Source Sans Pro" w:hAnsi="Source Sans Pro"/>
          <w:sz w:val="22"/>
          <w:szCs w:val="22"/>
        </w:rPr>
        <w:t>,</w:t>
      </w:r>
      <w:r w:rsidRPr="005932AD">
        <w:rPr>
          <w:rFonts w:ascii="Source Sans Pro" w:hAnsi="Source Sans Pro"/>
          <w:sz w:val="22"/>
          <w:szCs w:val="22"/>
        </w:rPr>
        <w:t xml:space="preserve"> first those who have joined us here in person. If anyone has any questions.</w:t>
      </w:r>
    </w:p>
    <w:p w14:paraId="4CC21AF4" w14:textId="77777777" w:rsidR="0081171B" w:rsidRPr="005932AD" w:rsidRDefault="0081171B" w:rsidP="0081171B">
      <w:pPr>
        <w:spacing w:line="360" w:lineRule="auto"/>
        <w:jc w:val="both"/>
        <w:rPr>
          <w:rFonts w:ascii="Source Sans Pro" w:hAnsi="Source Sans Pro"/>
          <w:sz w:val="22"/>
          <w:szCs w:val="22"/>
        </w:rPr>
      </w:pPr>
    </w:p>
    <w:p w14:paraId="4D90D5A9"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 xml:space="preserve">00:39:54 Andrzej </w:t>
      </w:r>
      <w:proofErr w:type="spellStart"/>
      <w:r w:rsidRPr="005932AD">
        <w:rPr>
          <w:rFonts w:ascii="Source Sans Pro" w:hAnsi="Source Sans Pro"/>
          <w:b/>
          <w:bCs/>
          <w:sz w:val="22"/>
          <w:szCs w:val="22"/>
        </w:rPr>
        <w:t>Powierza</w:t>
      </w:r>
      <w:proofErr w:type="spellEnd"/>
    </w:p>
    <w:p w14:paraId="48619820" w14:textId="6FF2AD2C"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 xml:space="preserve">Good morning, Andrzej Powierza, Citi </w:t>
      </w:r>
      <w:proofErr w:type="spellStart"/>
      <w:r w:rsidRPr="005932AD">
        <w:rPr>
          <w:rFonts w:ascii="Source Sans Pro" w:hAnsi="Source Sans Pro"/>
          <w:sz w:val="22"/>
          <w:szCs w:val="22"/>
        </w:rPr>
        <w:t>Handlowy</w:t>
      </w:r>
      <w:proofErr w:type="spellEnd"/>
      <w:r w:rsidRPr="005932AD">
        <w:rPr>
          <w:rFonts w:ascii="Source Sans Pro" w:hAnsi="Source Sans Pro"/>
          <w:sz w:val="22"/>
          <w:szCs w:val="22"/>
        </w:rPr>
        <w:t xml:space="preserve"> Brokerage House. I will start with where you finished, that is with the dividend and the capital position. Two questions. First – when is it planned… I mean, how is the project of introducing the internal model progressing, and what other measures, apart from the restructuring of the Group, which is a matter dependent on legislative changes, so I am not asking about that – but what else, under the current legal framework, can you do to optimize the capital position? And the second question, moving on more to the dividend, because looking at the strategic targets, as you noted, the dividend is already above that target. How should we look at this? Does it mean that, as you understand it, PZU’s status as a dividend company will continue to be maintained if the dividend in subsequent years falls, while still remaining above the strategic target but lower than this year? Or do we understand status as a</w:t>
      </w:r>
      <w:r w:rsidR="00424D0A">
        <w:rPr>
          <w:rFonts w:ascii="Source Sans Pro" w:hAnsi="Source Sans Pro"/>
          <w:sz w:val="22"/>
          <w:szCs w:val="22"/>
        </w:rPr>
        <w:t> </w:t>
      </w:r>
      <w:r w:rsidRPr="005932AD">
        <w:rPr>
          <w:rFonts w:ascii="Source Sans Pro" w:hAnsi="Source Sans Pro"/>
          <w:sz w:val="22"/>
          <w:szCs w:val="22"/>
        </w:rPr>
        <w:t>dividend company to mean that the dividend will not fall? Thank you.</w:t>
      </w:r>
    </w:p>
    <w:p w14:paraId="6315D465" w14:textId="77777777" w:rsidR="0081171B" w:rsidRPr="005932AD" w:rsidRDefault="0081171B" w:rsidP="0081171B">
      <w:pPr>
        <w:spacing w:line="360" w:lineRule="auto"/>
        <w:jc w:val="both"/>
        <w:rPr>
          <w:rFonts w:ascii="Source Sans Pro" w:hAnsi="Source Sans Pro"/>
          <w:sz w:val="22"/>
          <w:szCs w:val="22"/>
        </w:rPr>
      </w:pPr>
    </w:p>
    <w:p w14:paraId="57821F8D"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00:41:19 Maciej Fedyna</w:t>
      </w:r>
    </w:p>
    <w:p w14:paraId="36013D8A" w14:textId="3AC30D30"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 xml:space="preserve">Perhaps I will start, since the subject of the internal model and capital requirements is very much my area. Ladies and gentlemen, our capital position depends on many factors, and we do indeed have many tools we can use to shape these capital requirements. Thank you for mentioning several of these topics. The internal model is certainly one of them. Let me make a reservation right at the outset: in order for us to apply the internal model in calculating the capital requirement and to show those results externally, we have to go through the entire application process and obtain the appropriate regulatory approval. As for the state of work on the model internally – the model is called an internal model, so let me allow myself this comment – we are already using it. It is operational, we already have calculations for many reporting dates. We can see the scale and the mechanisms that drive how the capital requirement is estimated, where the differences lie between the standard formula and our own – and, we believe, decidedly better – measurement of risk. However, given that we take care to ensure that our communications to the market are always precise and appropriate and not exposed to the risk of changing in any way, we will not be sharing the results of that calculation for the time being. Where we do apply the results in running the business is in the selection of the reinsurance program, in better monitoring of portfolio </w:t>
      </w:r>
      <w:r w:rsidRPr="005932AD">
        <w:rPr>
          <w:rFonts w:ascii="Source Sans Pro" w:hAnsi="Source Sans Pro"/>
          <w:sz w:val="22"/>
          <w:szCs w:val="22"/>
        </w:rPr>
        <w:lastRenderedPageBreak/>
        <w:t>development and in looking at which segments and even which geographies we want to grow in more and where we should perhaps grow less. In some cases</w:t>
      </w:r>
      <w:r w:rsidR="00424D0A">
        <w:rPr>
          <w:rFonts w:ascii="Source Sans Pro" w:hAnsi="Source Sans Pro"/>
          <w:sz w:val="22"/>
          <w:szCs w:val="22"/>
        </w:rPr>
        <w:t>,</w:t>
      </w:r>
      <w:r w:rsidRPr="005932AD">
        <w:rPr>
          <w:rFonts w:ascii="Source Sans Pro" w:hAnsi="Source Sans Pro"/>
          <w:sz w:val="22"/>
          <w:szCs w:val="22"/>
        </w:rPr>
        <w:t xml:space="preserve"> this may also have an impact on the pricing or the underwriting of corporate risks, so we are already gradually beginning to see these benefits. What I have said also leads on to the question of what other tools we have, if not, if the restructuring were not able to happen within that timeframe, or should the application of the model in that dimension of official reporting not be possible in the first quarter of 2027 but somewhat later.</w:t>
      </w:r>
    </w:p>
    <w:p w14:paraId="68A29E63"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The first tool we have on the table, where we have identified the potential and are able to use it if the need arises, is the reinsurance program, which addresses capital requirements superbly. It is also quite reasonable in terms of the cost of the benefit obtained. We have also identified other levers. One of them may be the structure of the investment portfolio. We have a very safe portfolio, but if it were necessary, we can always consider how to reduce the risk profile there. Even as I list these measures, however, I would like to point out that when we look ourselves at the outlook for the development of our business, as we report it internally and also to the supervisory authorities as part of the own risk and solvency assessment process, that is the ORSA, it appears that we have no reason to plan any drastic measures, because these projections indicate that we will continue to have very safe solvency levels enabling us, moving on somewhat to the second question, to pay the dividend without disruption, meeting both our dividend policy and the regulatory requirements on limits for dividend payments in the future.</w:t>
      </w:r>
    </w:p>
    <w:p w14:paraId="41A33234" w14:textId="77777777" w:rsidR="0081171B" w:rsidRPr="005932AD" w:rsidRDefault="0081171B" w:rsidP="0081171B">
      <w:pPr>
        <w:spacing w:line="360" w:lineRule="auto"/>
        <w:jc w:val="both"/>
        <w:rPr>
          <w:rFonts w:ascii="Source Sans Pro" w:hAnsi="Source Sans Pro"/>
          <w:sz w:val="22"/>
          <w:szCs w:val="22"/>
        </w:rPr>
      </w:pPr>
    </w:p>
    <w:p w14:paraId="2CC9C07F"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00:45:40 Magdalena Komaracka</w:t>
      </w:r>
    </w:p>
    <w:p w14:paraId="52EA862D"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The second question was about the dividend as well.</w:t>
      </w:r>
    </w:p>
    <w:p w14:paraId="0A2A557A" w14:textId="77777777" w:rsidR="0081171B" w:rsidRPr="005932AD" w:rsidRDefault="0081171B" w:rsidP="0081171B">
      <w:pPr>
        <w:spacing w:line="360" w:lineRule="auto"/>
        <w:jc w:val="both"/>
        <w:rPr>
          <w:rFonts w:ascii="Source Sans Pro" w:hAnsi="Source Sans Pro"/>
          <w:sz w:val="22"/>
          <w:szCs w:val="22"/>
        </w:rPr>
      </w:pPr>
    </w:p>
    <w:p w14:paraId="151DD6BB"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00:45:47 Maciej Fedyna</w:t>
      </w:r>
    </w:p>
    <w:p w14:paraId="34C37A42" w14:textId="437CC185"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As to the question whether we will increase it in nominal terms or not, please forgive me, but as someone making his debut in this role</w:t>
      </w:r>
      <w:r w:rsidR="00424D0A">
        <w:rPr>
          <w:rFonts w:ascii="Source Sans Pro" w:hAnsi="Source Sans Pro"/>
          <w:sz w:val="22"/>
          <w:szCs w:val="22"/>
        </w:rPr>
        <w:t>,</w:t>
      </w:r>
      <w:r w:rsidRPr="005932AD">
        <w:rPr>
          <w:rFonts w:ascii="Source Sans Pro" w:hAnsi="Source Sans Pro"/>
          <w:sz w:val="22"/>
          <w:szCs w:val="22"/>
        </w:rPr>
        <w:t xml:space="preserve"> I will glance at the CEO to see whether I may allow myself such comments or not.</w:t>
      </w:r>
    </w:p>
    <w:p w14:paraId="4A3603E7" w14:textId="77777777" w:rsidR="0081171B" w:rsidRPr="005932AD" w:rsidRDefault="0081171B" w:rsidP="0081171B">
      <w:pPr>
        <w:spacing w:line="360" w:lineRule="auto"/>
        <w:jc w:val="both"/>
        <w:rPr>
          <w:rFonts w:ascii="Source Sans Pro" w:hAnsi="Source Sans Pro"/>
          <w:sz w:val="22"/>
          <w:szCs w:val="22"/>
        </w:rPr>
      </w:pPr>
    </w:p>
    <w:p w14:paraId="15408B2A"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 xml:space="preserve">00:46:00 Bogdan </w:t>
      </w:r>
      <w:proofErr w:type="spellStart"/>
      <w:r w:rsidRPr="005932AD">
        <w:rPr>
          <w:rFonts w:ascii="Source Sans Pro" w:hAnsi="Source Sans Pro"/>
          <w:b/>
          <w:bCs/>
          <w:sz w:val="22"/>
          <w:szCs w:val="22"/>
        </w:rPr>
        <w:t>Benczak</w:t>
      </w:r>
      <w:proofErr w:type="spellEnd"/>
    </w:p>
    <w:p w14:paraId="6827805B"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You may.</w:t>
      </w:r>
    </w:p>
    <w:p w14:paraId="4E740271" w14:textId="77777777" w:rsidR="0081171B" w:rsidRPr="005932AD" w:rsidRDefault="0081171B" w:rsidP="0081171B">
      <w:pPr>
        <w:spacing w:line="360" w:lineRule="auto"/>
        <w:jc w:val="both"/>
        <w:rPr>
          <w:rFonts w:ascii="Source Sans Pro" w:hAnsi="Source Sans Pro"/>
          <w:sz w:val="22"/>
          <w:szCs w:val="22"/>
        </w:rPr>
      </w:pPr>
    </w:p>
    <w:p w14:paraId="538E8BA8"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00:46:01 Maciej Fedyna</w:t>
      </w:r>
    </w:p>
    <w:p w14:paraId="1E90875F"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lastRenderedPageBreak/>
        <w:t>I think this is not a forecast, and we are in no way talking about forecasts, because we have never made any and do not intend to now; but our ambition is certainly that the dividend amount should not be reduced.</w:t>
      </w:r>
    </w:p>
    <w:p w14:paraId="29A60B19" w14:textId="77777777" w:rsidR="0081171B" w:rsidRPr="005932AD" w:rsidRDefault="0081171B" w:rsidP="0081171B">
      <w:pPr>
        <w:spacing w:line="360" w:lineRule="auto"/>
        <w:jc w:val="both"/>
        <w:rPr>
          <w:rFonts w:ascii="Source Sans Pro" w:hAnsi="Source Sans Pro"/>
          <w:sz w:val="22"/>
          <w:szCs w:val="22"/>
        </w:rPr>
      </w:pPr>
    </w:p>
    <w:p w14:paraId="620491C6"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b/>
          <w:bCs/>
          <w:sz w:val="22"/>
          <w:szCs w:val="22"/>
        </w:rPr>
        <w:t>00:46:16 Bogdan Benczak</w:t>
      </w:r>
    </w:p>
    <w:p w14:paraId="64595502" w14:textId="5E9B94EB"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Yes, our ambition is definitely, even with the changing regulatory environment, our ambition is for the Company to deliver on that, on its commitments, on what we promised. We have a dividend policy, and whenever we take a decision on the recommended dividend amount</w:t>
      </w:r>
      <w:r w:rsidR="00424D0A">
        <w:rPr>
          <w:rFonts w:ascii="Source Sans Pro" w:hAnsi="Source Sans Pro"/>
          <w:sz w:val="22"/>
          <w:szCs w:val="22"/>
        </w:rPr>
        <w:t>,</w:t>
      </w:r>
      <w:r w:rsidRPr="005932AD">
        <w:rPr>
          <w:rFonts w:ascii="Source Sans Pro" w:hAnsi="Source Sans Pro"/>
          <w:sz w:val="22"/>
          <w:szCs w:val="22"/>
        </w:rPr>
        <w:t xml:space="preserve"> we are guided by the dividend policy, by what is happening in the Company, and also by the predictability that is expected of the PZU Group.</w:t>
      </w:r>
    </w:p>
    <w:p w14:paraId="521F2623" w14:textId="77777777" w:rsidR="0081171B" w:rsidRPr="005932AD" w:rsidRDefault="0081171B" w:rsidP="0081171B">
      <w:pPr>
        <w:spacing w:line="360" w:lineRule="auto"/>
        <w:jc w:val="both"/>
        <w:rPr>
          <w:rFonts w:ascii="Source Sans Pro" w:hAnsi="Source Sans Pro"/>
          <w:sz w:val="22"/>
          <w:szCs w:val="22"/>
        </w:rPr>
      </w:pPr>
    </w:p>
    <w:p w14:paraId="1006E296"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b/>
          <w:bCs/>
          <w:sz w:val="22"/>
          <w:szCs w:val="22"/>
        </w:rPr>
        <w:t>00:46:52 Magdalena Komaracka</w:t>
      </w:r>
    </w:p>
    <w:p w14:paraId="732F4E1C"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Thank you very much. Are there any further questions?</w:t>
      </w:r>
    </w:p>
    <w:p w14:paraId="78D47C28" w14:textId="77777777" w:rsidR="0081171B" w:rsidRPr="005932AD" w:rsidRDefault="0081171B" w:rsidP="0081171B">
      <w:pPr>
        <w:spacing w:line="360" w:lineRule="auto"/>
        <w:jc w:val="both"/>
        <w:rPr>
          <w:rFonts w:ascii="Source Sans Pro" w:hAnsi="Source Sans Pro"/>
          <w:sz w:val="22"/>
          <w:szCs w:val="22"/>
        </w:rPr>
      </w:pPr>
    </w:p>
    <w:p w14:paraId="0AAC11A1"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 xml:space="preserve">00:46:47 Piotr </w:t>
      </w:r>
      <w:proofErr w:type="spellStart"/>
      <w:r w:rsidRPr="005932AD">
        <w:rPr>
          <w:rFonts w:ascii="Source Sans Pro" w:hAnsi="Source Sans Pro"/>
          <w:b/>
          <w:bCs/>
          <w:sz w:val="22"/>
          <w:szCs w:val="22"/>
        </w:rPr>
        <w:t>Wałek</w:t>
      </w:r>
      <w:proofErr w:type="spellEnd"/>
    </w:p>
    <w:p w14:paraId="062D1426"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Piotr Wałek, Insignis TFI. I have two questions. The first one, going a little further, is not only about the dividend but about the current operating targets, which were set in 2024, around December. Quite a lot has changed since then. People, results. I would like to know whether any updates to the operating targets of this strategy can be expected by the end of the year. If so, in what area does the current Management Board see the most change? And that is the first question.</w:t>
      </w:r>
    </w:p>
    <w:p w14:paraId="0A6AB44C" w14:textId="77777777" w:rsidR="0081171B" w:rsidRPr="005932AD" w:rsidRDefault="0081171B" w:rsidP="0081171B">
      <w:pPr>
        <w:spacing w:line="360" w:lineRule="auto"/>
        <w:jc w:val="both"/>
        <w:rPr>
          <w:rFonts w:ascii="Source Sans Pro" w:hAnsi="Source Sans Pro"/>
          <w:sz w:val="22"/>
          <w:szCs w:val="22"/>
        </w:rPr>
      </w:pPr>
    </w:p>
    <w:p w14:paraId="3A938DD1"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00:47:34 Bogdan Benczak</w:t>
      </w:r>
    </w:p>
    <w:p w14:paraId="49B46C55" w14:textId="4BEA58E9"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Yes, we monitor on an ongoing basis how the strategy is being implemented, we analyze what is happening in the market and what the opportunities are. And we are now in a new situation. A</w:t>
      </w:r>
      <w:r w:rsidR="00313DFD">
        <w:rPr>
          <w:rFonts w:ascii="Source Sans Pro" w:hAnsi="Source Sans Pro"/>
          <w:sz w:val="22"/>
          <w:szCs w:val="22"/>
        </w:rPr>
        <w:t> </w:t>
      </w:r>
      <w:r w:rsidRPr="005932AD">
        <w:rPr>
          <w:rFonts w:ascii="Source Sans Pro" w:hAnsi="Source Sans Pro"/>
          <w:sz w:val="22"/>
          <w:szCs w:val="22"/>
        </w:rPr>
        <w:t>Management Board for a new term of office has been appointed. There is no question that we intend to review what is happening and what has happened and to revise, if necessary, to revise certain areas of the business. However, what is fundamental, that is our dividend policy and our approach to delivering on the promises we have made, will not change.</w:t>
      </w:r>
    </w:p>
    <w:p w14:paraId="29ACD7D1" w14:textId="77777777" w:rsidR="0081171B" w:rsidRPr="005932AD" w:rsidRDefault="0081171B" w:rsidP="0081171B">
      <w:pPr>
        <w:spacing w:line="360" w:lineRule="auto"/>
        <w:jc w:val="both"/>
        <w:rPr>
          <w:rFonts w:ascii="Source Sans Pro" w:hAnsi="Source Sans Pro"/>
          <w:sz w:val="22"/>
          <w:szCs w:val="22"/>
        </w:rPr>
      </w:pPr>
    </w:p>
    <w:p w14:paraId="66E025B8"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 xml:space="preserve">00:48:14 Piotr </w:t>
      </w:r>
      <w:proofErr w:type="spellStart"/>
      <w:r w:rsidRPr="005932AD">
        <w:rPr>
          <w:rFonts w:ascii="Source Sans Pro" w:hAnsi="Source Sans Pro"/>
          <w:b/>
          <w:bCs/>
          <w:sz w:val="22"/>
          <w:szCs w:val="22"/>
        </w:rPr>
        <w:t>Wałek</w:t>
      </w:r>
      <w:proofErr w:type="spellEnd"/>
    </w:p>
    <w:p w14:paraId="4013F7E8"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 xml:space="preserve">And the second question. In the reinsurance business, does the new Management Board see any possible structural changes in the Group here? Or are we rather sticking with what has been in place </w:t>
      </w:r>
      <w:r w:rsidRPr="005932AD">
        <w:rPr>
          <w:rFonts w:ascii="Source Sans Pro" w:hAnsi="Source Sans Pro"/>
          <w:sz w:val="22"/>
          <w:szCs w:val="22"/>
        </w:rPr>
        <w:lastRenderedPageBreak/>
        <w:t>for many years? I mean going into it more heavily, taking on risk, any questions of investment in this business at all?</w:t>
      </w:r>
    </w:p>
    <w:p w14:paraId="591A66FB" w14:textId="77777777" w:rsidR="0081171B" w:rsidRPr="005932AD" w:rsidRDefault="0081171B" w:rsidP="0081171B">
      <w:pPr>
        <w:spacing w:line="360" w:lineRule="auto"/>
        <w:jc w:val="both"/>
        <w:rPr>
          <w:rFonts w:ascii="Source Sans Pro" w:hAnsi="Source Sans Pro"/>
          <w:sz w:val="22"/>
          <w:szCs w:val="22"/>
        </w:rPr>
      </w:pPr>
    </w:p>
    <w:p w14:paraId="64ED9402"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00:48:37 Bogdan Benczak</w:t>
      </w:r>
    </w:p>
    <w:p w14:paraId="0953EEFD"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Please, Maciej.</w:t>
      </w:r>
    </w:p>
    <w:p w14:paraId="740426B7" w14:textId="77777777" w:rsidR="0081171B" w:rsidRPr="005932AD" w:rsidRDefault="0081171B" w:rsidP="0081171B">
      <w:pPr>
        <w:spacing w:line="360" w:lineRule="auto"/>
        <w:jc w:val="both"/>
        <w:rPr>
          <w:rFonts w:ascii="Source Sans Pro" w:hAnsi="Source Sans Pro"/>
          <w:sz w:val="22"/>
          <w:szCs w:val="22"/>
        </w:rPr>
      </w:pPr>
    </w:p>
    <w:p w14:paraId="5E4E2D45"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00:48:39 Maciej Fedyna</w:t>
      </w:r>
    </w:p>
    <w:p w14:paraId="782B9464" w14:textId="0E1A0290"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As you know, in our strategy</w:t>
      </w:r>
      <w:r w:rsidR="00313DFD">
        <w:rPr>
          <w:rFonts w:ascii="Source Sans Pro" w:hAnsi="Source Sans Pro"/>
          <w:sz w:val="22"/>
          <w:szCs w:val="22"/>
        </w:rPr>
        <w:t>,</w:t>
      </w:r>
      <w:r w:rsidRPr="005932AD">
        <w:rPr>
          <w:rFonts w:ascii="Source Sans Pro" w:hAnsi="Source Sans Pro"/>
          <w:sz w:val="22"/>
          <w:szCs w:val="22"/>
        </w:rPr>
        <w:t xml:space="preserve"> foreign expansion was one of the elements of development and of growing the scale of the business. And one of the elements of that foreign expansion, or one of the ways of pursuing it, is inward reinsurance. In the fourth quarter of last year, which is the renewal season in the reinsurance business, we concluded a fair number of contracts in this area; we are monitoring it and the business is developing. Revising that plan is not currently on the table, among our tasks.</w:t>
      </w:r>
    </w:p>
    <w:p w14:paraId="3AE8C8D9" w14:textId="77777777" w:rsidR="0081171B" w:rsidRPr="005932AD" w:rsidRDefault="0081171B" w:rsidP="0081171B">
      <w:pPr>
        <w:spacing w:line="360" w:lineRule="auto"/>
        <w:jc w:val="both"/>
        <w:rPr>
          <w:rFonts w:ascii="Source Sans Pro" w:hAnsi="Source Sans Pro"/>
          <w:sz w:val="22"/>
          <w:szCs w:val="22"/>
        </w:rPr>
      </w:pPr>
    </w:p>
    <w:p w14:paraId="0F6E04E0"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 xml:space="preserve">00:49:20 Piotr </w:t>
      </w:r>
      <w:proofErr w:type="spellStart"/>
      <w:r w:rsidRPr="005932AD">
        <w:rPr>
          <w:rFonts w:ascii="Source Sans Pro" w:hAnsi="Source Sans Pro"/>
          <w:b/>
          <w:bCs/>
          <w:sz w:val="22"/>
          <w:szCs w:val="22"/>
        </w:rPr>
        <w:t>Wałek</w:t>
      </w:r>
      <w:proofErr w:type="spellEnd"/>
    </w:p>
    <w:p w14:paraId="0ABDC943"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Thank you.</w:t>
      </w:r>
    </w:p>
    <w:p w14:paraId="2DDED88C" w14:textId="77777777" w:rsidR="0081171B" w:rsidRPr="005932AD" w:rsidRDefault="0081171B" w:rsidP="0081171B">
      <w:pPr>
        <w:spacing w:line="360" w:lineRule="auto"/>
        <w:jc w:val="both"/>
        <w:rPr>
          <w:rFonts w:ascii="Source Sans Pro" w:hAnsi="Source Sans Pro"/>
          <w:sz w:val="22"/>
          <w:szCs w:val="22"/>
        </w:rPr>
      </w:pPr>
    </w:p>
    <w:p w14:paraId="59263818"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 xml:space="preserve">00:49:24 Łukasz </w:t>
      </w:r>
      <w:proofErr w:type="spellStart"/>
      <w:r w:rsidRPr="005932AD">
        <w:rPr>
          <w:rFonts w:ascii="Source Sans Pro" w:hAnsi="Source Sans Pro"/>
          <w:b/>
          <w:bCs/>
          <w:sz w:val="22"/>
          <w:szCs w:val="22"/>
        </w:rPr>
        <w:t>Jańczak</w:t>
      </w:r>
      <w:proofErr w:type="spellEnd"/>
    </w:p>
    <w:p w14:paraId="2A42C444"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Good morning, Łukasz Jańczak, Erste Securities. I have one question – about a segment that usually attracts somewhat less attention, namely the Baltic States. There was a somewhat weaker insurance result there with, let us say, relatively stable premiums, and I would ask for a comment on what happened there. Thank you.</w:t>
      </w:r>
    </w:p>
    <w:p w14:paraId="5E702C7C" w14:textId="77777777" w:rsidR="0081171B" w:rsidRPr="005932AD" w:rsidRDefault="0081171B" w:rsidP="0081171B">
      <w:pPr>
        <w:spacing w:line="360" w:lineRule="auto"/>
        <w:jc w:val="both"/>
        <w:rPr>
          <w:rFonts w:ascii="Source Sans Pro" w:hAnsi="Source Sans Pro"/>
          <w:sz w:val="22"/>
          <w:szCs w:val="22"/>
        </w:rPr>
      </w:pPr>
    </w:p>
    <w:p w14:paraId="10676B57"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00:49:47 Maciej Fedyna</w:t>
      </w:r>
    </w:p>
    <w:p w14:paraId="6A8D975C"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 xml:space="preserve">As regards the Baltic States, and profitability there, the key factor affecting these results really is the weather. Let us look at two… separately at motor and separately at the non-motor business. Motor in the Baltic States is quite specific; there is a relatively large share of corporate business related to transport, so this is also a segment which of course, even when weather conditions are worse, cannot afford to stop transporting, so in order for business to go on, that activity continued to be carried out, and in that context this is indeed one small source of that impact, of that negative deviation in the first quarter. The second is very similar to what I commented on for the Polish </w:t>
      </w:r>
      <w:r w:rsidRPr="005932AD">
        <w:rPr>
          <w:rFonts w:ascii="Source Sans Pro" w:hAnsi="Source Sans Pro"/>
          <w:sz w:val="22"/>
          <w:szCs w:val="22"/>
        </w:rPr>
        <w:lastRenderedPageBreak/>
        <w:t>market: the impact of snow and frost in that region in property insurance strictly speaking. Those are the factors that most affected first-quarter profitability in the Baltic States.</w:t>
      </w:r>
    </w:p>
    <w:p w14:paraId="54F48B73" w14:textId="77777777" w:rsidR="0081171B" w:rsidRPr="005932AD" w:rsidRDefault="0081171B" w:rsidP="0081171B">
      <w:pPr>
        <w:spacing w:line="360" w:lineRule="auto"/>
        <w:jc w:val="both"/>
        <w:rPr>
          <w:rFonts w:ascii="Source Sans Pro" w:hAnsi="Source Sans Pro"/>
          <w:sz w:val="22"/>
          <w:szCs w:val="22"/>
        </w:rPr>
      </w:pPr>
    </w:p>
    <w:p w14:paraId="44968B40"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00:50:57 Bogdan Benczak</w:t>
      </w:r>
    </w:p>
    <w:p w14:paraId="5E68F33C" w14:textId="7861BA15"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Snow claims, to put it bluntly – when I talk to my colleagues in the Baltic States, since there was already a question about the Baltic States here, I remember, at my first conference. As you know, that region is close to my heart; I spent quite a lot of time there. My colleagues say that they had simply forgotten what it is like when snow falls, that you have to clear the roofs, that you drive a</w:t>
      </w:r>
      <w:r w:rsidR="00313DFD">
        <w:rPr>
          <w:rFonts w:ascii="Source Sans Pro" w:hAnsi="Source Sans Pro"/>
          <w:sz w:val="22"/>
          <w:szCs w:val="22"/>
        </w:rPr>
        <w:t> </w:t>
      </w:r>
      <w:r w:rsidRPr="005932AD">
        <w:rPr>
          <w:rFonts w:ascii="Source Sans Pro" w:hAnsi="Source Sans Pro"/>
          <w:sz w:val="22"/>
          <w:szCs w:val="22"/>
        </w:rPr>
        <w:t>little differently, and that caused… those snow claims did indeed translate into a higher claims ratio. Ladies and gentlemen, in Estonia the ice roads were opened this year for the first time in, I do not know, about 10 years, I think.</w:t>
      </w:r>
    </w:p>
    <w:p w14:paraId="7B482E98" w14:textId="77777777" w:rsidR="0081171B" w:rsidRPr="005932AD" w:rsidRDefault="0081171B" w:rsidP="0081171B">
      <w:pPr>
        <w:spacing w:line="360" w:lineRule="auto"/>
        <w:jc w:val="both"/>
        <w:rPr>
          <w:rFonts w:ascii="Source Sans Pro" w:hAnsi="Source Sans Pro"/>
          <w:sz w:val="22"/>
          <w:szCs w:val="22"/>
        </w:rPr>
      </w:pPr>
    </w:p>
    <w:p w14:paraId="1B306958"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00:51:44 Magdalena Komaracka</w:t>
      </w:r>
    </w:p>
    <w:p w14:paraId="2B460CA4"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There is one more question here.</w:t>
      </w:r>
    </w:p>
    <w:p w14:paraId="395FC7D8" w14:textId="77777777" w:rsidR="0081171B" w:rsidRPr="005932AD" w:rsidRDefault="0081171B" w:rsidP="0081171B">
      <w:pPr>
        <w:spacing w:line="360" w:lineRule="auto"/>
        <w:jc w:val="both"/>
        <w:rPr>
          <w:rFonts w:ascii="Source Sans Pro" w:hAnsi="Source Sans Pro"/>
          <w:sz w:val="22"/>
          <w:szCs w:val="22"/>
        </w:rPr>
      </w:pPr>
    </w:p>
    <w:p w14:paraId="2A828243"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b/>
          <w:bCs/>
          <w:sz w:val="22"/>
          <w:szCs w:val="22"/>
        </w:rPr>
        <w:t xml:space="preserve">00:51:50 Andrzej </w:t>
      </w:r>
      <w:proofErr w:type="spellStart"/>
      <w:r w:rsidRPr="005932AD">
        <w:rPr>
          <w:rFonts w:ascii="Source Sans Pro" w:hAnsi="Source Sans Pro"/>
          <w:b/>
          <w:bCs/>
          <w:sz w:val="22"/>
          <w:szCs w:val="22"/>
        </w:rPr>
        <w:t>Powierza</w:t>
      </w:r>
      <w:proofErr w:type="spellEnd"/>
    </w:p>
    <w:p w14:paraId="6BCC012E"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Thank you. Continuing the weather theme in a sense, but moving on to the second quarter, that is – can the second-quarter frosts already be estimated in any way, how is the second quarter shaping up in that respect? And a second factor, also current but non-weather-related, namely higher fuel prices in some countries, not everywhere, or higher fuel prices to varying degrees – is any impact visible on traffic, on claims frequency, or is there no such impact? Thank you.</w:t>
      </w:r>
    </w:p>
    <w:p w14:paraId="0C562E6F" w14:textId="77777777" w:rsidR="0081171B" w:rsidRPr="005932AD" w:rsidRDefault="0081171B" w:rsidP="0081171B">
      <w:pPr>
        <w:spacing w:line="360" w:lineRule="auto"/>
        <w:jc w:val="both"/>
        <w:rPr>
          <w:rFonts w:ascii="Source Sans Pro" w:hAnsi="Source Sans Pro"/>
          <w:sz w:val="22"/>
          <w:szCs w:val="22"/>
        </w:rPr>
      </w:pPr>
    </w:p>
    <w:p w14:paraId="61402161"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00:52:28 Maciej Fedyna</w:t>
      </w:r>
    </w:p>
    <w:p w14:paraId="744D63E5"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 xml:space="preserve">The answer to both of these questions is yes. As regards the frosts, for now there are relatively few notifications. Realistically, however, we expect such notifications to come in to a greater extent. It is certainly too early to estimate the impact. The process of assessing the scale of losses in crop insurance is quite complex and complicated, and it also requires looking at how, at the compensating factors in the later growth of the plants. As you know very well, for some time now we have been changing, and continue to change, the structure of the crop insurance we have in our portfolio. The share of fruit insurance is not as high as it once was. We are developing insurance in other segments to a greater extent. As a result, that very pinpoint exposure to frosts on precisely the day or days when the plantations are in blossom is somewhat lower than in the past. It is still an </w:t>
      </w:r>
      <w:r w:rsidRPr="005932AD">
        <w:rPr>
          <w:rFonts w:ascii="Source Sans Pro" w:hAnsi="Source Sans Pro"/>
          <w:sz w:val="22"/>
          <w:szCs w:val="22"/>
        </w:rPr>
        <w:lastRenderedPageBreak/>
        <w:t>important line of our business, however, and we expect that we will only see this impact later on. As regards the impact of fuel prices, that impact will certainly not be very significant, because the relief program launched for individual clients has largely mitigated the effect of the turbulence in global markets. What we did observe in March and April was in fact a decrease in frequency. Whether it is due solely to that, I would not want to speculate. We do see a certain difference between the motor TPL segment and the motor own damage segment, which we attribute to the different behavior patterns of clients who buy motor TPL only and clients who take up both, that is the more comprehensive offering.</w:t>
      </w:r>
    </w:p>
    <w:p w14:paraId="57FE4A57" w14:textId="77777777" w:rsidR="0081171B" w:rsidRPr="005932AD" w:rsidRDefault="0081171B" w:rsidP="0081171B">
      <w:pPr>
        <w:spacing w:line="360" w:lineRule="auto"/>
        <w:jc w:val="both"/>
        <w:rPr>
          <w:rFonts w:ascii="Source Sans Pro" w:hAnsi="Source Sans Pro"/>
          <w:sz w:val="22"/>
          <w:szCs w:val="22"/>
        </w:rPr>
      </w:pPr>
    </w:p>
    <w:p w14:paraId="5176D913"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00:54:52 Magdalena Komaracka</w:t>
      </w:r>
    </w:p>
    <w:p w14:paraId="57729634"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Do we have any further questions from those in the room? I do not see any, but we can come back to that later. I have one question from the internet here, from PKO BP Securities: could you please quantify the impact of agricultural claims related to the cold winter in the first quarter of 2026? That is the first part of the question. And the second: do you see elevated weather risks in the coming months, for example related this time to drought?</w:t>
      </w:r>
    </w:p>
    <w:p w14:paraId="61F91CBC" w14:textId="77777777" w:rsidR="0081171B" w:rsidRPr="005932AD" w:rsidRDefault="0081171B" w:rsidP="0081171B">
      <w:pPr>
        <w:spacing w:line="360" w:lineRule="auto"/>
        <w:jc w:val="both"/>
        <w:rPr>
          <w:rFonts w:ascii="Source Sans Pro" w:hAnsi="Source Sans Pro"/>
          <w:sz w:val="22"/>
          <w:szCs w:val="22"/>
        </w:rPr>
      </w:pPr>
    </w:p>
    <w:p w14:paraId="2CD03BF4"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00:55:22 Maciej Fedyna</w:t>
      </w:r>
    </w:p>
    <w:p w14:paraId="4B98C972" w14:textId="466FD9E2"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Let me address both of these questions. On agricultural claims, claims from the negative effects of overwintering have amounted, at this point, to slightly over PLN</w:t>
      </w:r>
      <w:r w:rsidR="00313DFD">
        <w:rPr>
          <w:rFonts w:ascii="Source Sans Pro" w:hAnsi="Source Sans Pro"/>
          <w:sz w:val="22"/>
          <w:szCs w:val="22"/>
        </w:rPr>
        <w:t> </w:t>
      </w:r>
      <w:r w:rsidRPr="005932AD">
        <w:rPr>
          <w:rFonts w:ascii="Source Sans Pro" w:hAnsi="Source Sans Pro"/>
          <w:sz w:val="22"/>
          <w:szCs w:val="22"/>
        </w:rPr>
        <w:t>40</w:t>
      </w:r>
      <w:r w:rsidR="00313DFD">
        <w:rPr>
          <w:rFonts w:ascii="Source Sans Pro" w:hAnsi="Source Sans Pro"/>
          <w:sz w:val="22"/>
          <w:szCs w:val="22"/>
        </w:rPr>
        <w:t> </w:t>
      </w:r>
      <w:r w:rsidRPr="005932AD">
        <w:rPr>
          <w:rFonts w:ascii="Source Sans Pro" w:hAnsi="Source Sans Pro"/>
          <w:sz w:val="22"/>
          <w:szCs w:val="22"/>
        </w:rPr>
        <w:t>m. As for the outlook for the coming quarters, it is too early to quantify that. I can only offer reassurance that drought risk in Poland is not commonly covered by insurance. It is a catastrophe risk that is very difficult, very difficult to manage, and it is not an offering that is made widely available in our distribution, but also, frankly speaking, it is not a common insurance offering on the market at all. This risk, it has to be remembered, if it were covered, would be expensive, at the upper end very expensive, because soil and climate conditions in Poland are such that they justify very high prices for this risk.</w:t>
      </w:r>
    </w:p>
    <w:p w14:paraId="3F74F108" w14:textId="77777777" w:rsidR="0081171B" w:rsidRPr="005932AD" w:rsidRDefault="0081171B" w:rsidP="0081171B">
      <w:pPr>
        <w:spacing w:line="360" w:lineRule="auto"/>
        <w:jc w:val="both"/>
        <w:rPr>
          <w:rFonts w:ascii="Source Sans Pro" w:hAnsi="Source Sans Pro"/>
          <w:sz w:val="22"/>
          <w:szCs w:val="22"/>
        </w:rPr>
      </w:pPr>
    </w:p>
    <w:p w14:paraId="044F98DA"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00:56:30 Magdalena Komaracka</w:t>
      </w:r>
    </w:p>
    <w:p w14:paraId="7CA7879B"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One more question from the room.</w:t>
      </w:r>
    </w:p>
    <w:p w14:paraId="420A5027" w14:textId="77777777" w:rsidR="0081171B" w:rsidRPr="005932AD" w:rsidRDefault="0081171B" w:rsidP="0081171B">
      <w:pPr>
        <w:spacing w:line="360" w:lineRule="auto"/>
        <w:jc w:val="both"/>
        <w:rPr>
          <w:rFonts w:ascii="Source Sans Pro" w:hAnsi="Source Sans Pro"/>
          <w:sz w:val="22"/>
          <w:szCs w:val="22"/>
        </w:rPr>
      </w:pPr>
    </w:p>
    <w:p w14:paraId="20B1B1F9"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b/>
          <w:bCs/>
          <w:sz w:val="22"/>
          <w:szCs w:val="22"/>
        </w:rPr>
        <w:t xml:space="preserve">00:56:35 Łukasz </w:t>
      </w:r>
      <w:proofErr w:type="spellStart"/>
      <w:r w:rsidRPr="005932AD">
        <w:rPr>
          <w:rFonts w:ascii="Source Sans Pro" w:hAnsi="Source Sans Pro"/>
          <w:b/>
          <w:bCs/>
          <w:sz w:val="22"/>
          <w:szCs w:val="22"/>
        </w:rPr>
        <w:t>Jańczak</w:t>
      </w:r>
      <w:proofErr w:type="spellEnd"/>
    </w:p>
    <w:p w14:paraId="5C057413" w14:textId="4C068346"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 xml:space="preserve">Thank you. Perhaps, for the sake of form, I will also ask about the process of reorganizing the Group and PKO S.A. Is the base case now, since we have been talking about that impact next year, that </w:t>
      </w:r>
      <w:r w:rsidRPr="005932AD">
        <w:rPr>
          <w:rFonts w:ascii="Source Sans Pro" w:hAnsi="Source Sans Pro"/>
          <w:sz w:val="22"/>
          <w:szCs w:val="22"/>
        </w:rPr>
        <w:lastRenderedPageBreak/>
        <w:t>there will be no transaction at all as part of this reorganization? Or do you ultimately still see a</w:t>
      </w:r>
      <w:r w:rsidR="00313DFD">
        <w:rPr>
          <w:rFonts w:ascii="Source Sans Pro" w:hAnsi="Source Sans Pro"/>
          <w:sz w:val="22"/>
          <w:szCs w:val="22"/>
        </w:rPr>
        <w:t> </w:t>
      </w:r>
      <w:r w:rsidRPr="005932AD">
        <w:rPr>
          <w:rFonts w:ascii="Source Sans Pro" w:hAnsi="Source Sans Pro"/>
          <w:sz w:val="22"/>
          <w:szCs w:val="22"/>
        </w:rPr>
        <w:t>chance that the original merger plan is still on the table? Thank you.</w:t>
      </w:r>
    </w:p>
    <w:p w14:paraId="5842D5D7" w14:textId="77777777" w:rsidR="0081171B" w:rsidRPr="005932AD" w:rsidRDefault="0081171B" w:rsidP="0081171B">
      <w:pPr>
        <w:spacing w:line="360" w:lineRule="auto"/>
        <w:jc w:val="both"/>
        <w:rPr>
          <w:rFonts w:ascii="Source Sans Pro" w:hAnsi="Source Sans Pro"/>
          <w:sz w:val="22"/>
          <w:szCs w:val="22"/>
        </w:rPr>
      </w:pPr>
    </w:p>
    <w:p w14:paraId="17128A40"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00:57:01 Bogdan Benczak</w:t>
      </w:r>
    </w:p>
    <w:p w14:paraId="3D4E775E"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A formal question deserves a formal answer. The term sheet remains in force. It sets out precisely the milestones and certain factors that have to fall into place in order for the whole project to be launched. We are talking here about matters relating to legislative changes. Within the PZU Group, however, we have done our homework; we are prepared, so that if the legislative changes enter into force we know exactly, we have a plan, what we have to do in order to separate out the insurance business and the holding business. We are ready for that.</w:t>
      </w:r>
    </w:p>
    <w:p w14:paraId="06461AE2" w14:textId="77777777" w:rsidR="0081171B" w:rsidRPr="005932AD" w:rsidRDefault="0081171B" w:rsidP="0081171B">
      <w:pPr>
        <w:spacing w:line="360" w:lineRule="auto"/>
        <w:jc w:val="both"/>
        <w:rPr>
          <w:rFonts w:ascii="Source Sans Pro" w:hAnsi="Source Sans Pro"/>
          <w:sz w:val="22"/>
          <w:szCs w:val="22"/>
        </w:rPr>
      </w:pPr>
    </w:p>
    <w:p w14:paraId="4A81F963"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b/>
          <w:bCs/>
          <w:sz w:val="22"/>
          <w:szCs w:val="22"/>
        </w:rPr>
        <w:t xml:space="preserve">00:57:42 Łukasz </w:t>
      </w:r>
      <w:proofErr w:type="spellStart"/>
      <w:r w:rsidRPr="005932AD">
        <w:rPr>
          <w:rFonts w:ascii="Source Sans Pro" w:hAnsi="Source Sans Pro"/>
          <w:b/>
          <w:bCs/>
          <w:sz w:val="22"/>
          <w:szCs w:val="22"/>
        </w:rPr>
        <w:t>Jańczak</w:t>
      </w:r>
      <w:proofErr w:type="spellEnd"/>
    </w:p>
    <w:p w14:paraId="77492806"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And would the CEO venture, perhaps not a quantification, but an opinion on how high the chances are that this legislation will ultimately be passed?</w:t>
      </w:r>
    </w:p>
    <w:p w14:paraId="4C915EF2" w14:textId="77777777" w:rsidR="0081171B" w:rsidRPr="005932AD" w:rsidRDefault="0081171B" w:rsidP="0081171B">
      <w:pPr>
        <w:spacing w:line="360" w:lineRule="auto"/>
        <w:jc w:val="both"/>
        <w:rPr>
          <w:rFonts w:ascii="Source Sans Pro" w:hAnsi="Source Sans Pro"/>
          <w:sz w:val="22"/>
          <w:szCs w:val="22"/>
        </w:rPr>
      </w:pPr>
    </w:p>
    <w:p w14:paraId="7FF451FC"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00:57:52 Bogdan Benczak</w:t>
      </w:r>
    </w:p>
    <w:p w14:paraId="5AFA3C36"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I am not an actuary. So please excuse me from that question. But I am an attorney-at-law.</w:t>
      </w:r>
    </w:p>
    <w:p w14:paraId="4CE4D3A2" w14:textId="77777777" w:rsidR="0081171B" w:rsidRPr="005932AD" w:rsidRDefault="0081171B" w:rsidP="0081171B">
      <w:pPr>
        <w:spacing w:line="360" w:lineRule="auto"/>
        <w:jc w:val="both"/>
        <w:rPr>
          <w:rFonts w:ascii="Source Sans Pro" w:hAnsi="Source Sans Pro"/>
          <w:sz w:val="22"/>
          <w:szCs w:val="22"/>
        </w:rPr>
      </w:pPr>
    </w:p>
    <w:p w14:paraId="0197DCE6"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b/>
          <w:bCs/>
          <w:sz w:val="22"/>
          <w:szCs w:val="22"/>
        </w:rPr>
        <w:t>00:58:05 Łukasz Jańczak</w:t>
      </w:r>
    </w:p>
    <w:p w14:paraId="3A021E60"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Of course, thank you.</w:t>
      </w:r>
    </w:p>
    <w:p w14:paraId="7E5412E7" w14:textId="77777777" w:rsidR="0081171B" w:rsidRPr="005932AD" w:rsidRDefault="0081171B" w:rsidP="0081171B">
      <w:pPr>
        <w:spacing w:line="360" w:lineRule="auto"/>
        <w:jc w:val="both"/>
        <w:rPr>
          <w:rFonts w:ascii="Source Sans Pro" w:hAnsi="Source Sans Pro"/>
          <w:sz w:val="22"/>
          <w:szCs w:val="22"/>
        </w:rPr>
      </w:pPr>
    </w:p>
    <w:p w14:paraId="7A661EE7"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00:58:08 Magdalena Komaracka</w:t>
      </w:r>
    </w:p>
    <w:p w14:paraId="3ABC6ED7"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I have no further questions from the internet. Is there anyone else in the room? One more question from Andrzej?</w:t>
      </w:r>
    </w:p>
    <w:p w14:paraId="69F50FBC" w14:textId="77777777" w:rsidR="0081171B" w:rsidRPr="005932AD" w:rsidRDefault="0081171B" w:rsidP="0081171B">
      <w:pPr>
        <w:spacing w:line="360" w:lineRule="auto"/>
        <w:jc w:val="both"/>
        <w:rPr>
          <w:rFonts w:ascii="Source Sans Pro" w:hAnsi="Source Sans Pro"/>
          <w:sz w:val="22"/>
          <w:szCs w:val="22"/>
        </w:rPr>
      </w:pPr>
    </w:p>
    <w:p w14:paraId="79699322"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 xml:space="preserve">00:58:15 Andrzej </w:t>
      </w:r>
      <w:proofErr w:type="spellStart"/>
      <w:r w:rsidRPr="005932AD">
        <w:rPr>
          <w:rFonts w:ascii="Source Sans Pro" w:hAnsi="Source Sans Pro"/>
          <w:b/>
          <w:bCs/>
          <w:sz w:val="22"/>
          <w:szCs w:val="22"/>
        </w:rPr>
        <w:t>Powierza</w:t>
      </w:r>
      <w:proofErr w:type="spellEnd"/>
    </w:p>
    <w:p w14:paraId="623E7882"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All right, since we are asking about the things we ask about less often, I will come back to the health business, because you talk about revenue, you talk about optimization measures, but unless I am mistaken, there is no, there was no mention of the result of this segment, at least not on the slide, though I may have missed it. Perhaps a couple of words on that.</w:t>
      </w:r>
    </w:p>
    <w:p w14:paraId="11A2087E" w14:textId="77777777" w:rsidR="0081171B" w:rsidRPr="005932AD" w:rsidRDefault="0081171B" w:rsidP="0081171B">
      <w:pPr>
        <w:spacing w:line="360" w:lineRule="auto"/>
        <w:jc w:val="both"/>
        <w:rPr>
          <w:rFonts w:ascii="Source Sans Pro" w:hAnsi="Source Sans Pro"/>
          <w:sz w:val="22"/>
          <w:szCs w:val="22"/>
        </w:rPr>
      </w:pPr>
    </w:p>
    <w:p w14:paraId="102C8785"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00:58:39 Maciej Fedyna</w:t>
      </w:r>
    </w:p>
    <w:p w14:paraId="1757A035"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lastRenderedPageBreak/>
        <w:t>Indeed, there is no such information on the slide. What I can say is that we are pleased with the double-digit margin in this business – positive, of course – so this is also a good direction of development, and we are pleased that in addition to top-line growth the margin of this segment is also improving.</w:t>
      </w:r>
    </w:p>
    <w:p w14:paraId="17A9CF26" w14:textId="77777777" w:rsidR="0081171B" w:rsidRPr="005932AD" w:rsidRDefault="0081171B" w:rsidP="0081171B">
      <w:pPr>
        <w:spacing w:line="360" w:lineRule="auto"/>
        <w:jc w:val="both"/>
        <w:rPr>
          <w:rFonts w:ascii="Source Sans Pro" w:hAnsi="Source Sans Pro"/>
          <w:sz w:val="22"/>
          <w:szCs w:val="22"/>
        </w:rPr>
      </w:pPr>
    </w:p>
    <w:p w14:paraId="687C99A1"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00:58:57 Bogdan Benczak</w:t>
      </w:r>
    </w:p>
    <w:p w14:paraId="0F1E9181"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We are continuing the trend here that was in place last year.</w:t>
      </w:r>
    </w:p>
    <w:p w14:paraId="22C0B770" w14:textId="77777777" w:rsidR="0081171B" w:rsidRPr="005932AD" w:rsidRDefault="0081171B" w:rsidP="0081171B">
      <w:pPr>
        <w:spacing w:line="360" w:lineRule="auto"/>
        <w:jc w:val="both"/>
        <w:rPr>
          <w:rFonts w:ascii="Source Sans Pro" w:hAnsi="Source Sans Pro"/>
          <w:sz w:val="22"/>
          <w:szCs w:val="22"/>
        </w:rPr>
      </w:pPr>
    </w:p>
    <w:p w14:paraId="564A18A8"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00:59:06 Magdalena Komaracka</w:t>
      </w:r>
    </w:p>
    <w:p w14:paraId="73A0BE1E"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We have no further questions. I hand the floor back for the closing of the conference.</w:t>
      </w:r>
    </w:p>
    <w:p w14:paraId="78AA83F9" w14:textId="77777777" w:rsidR="0081171B" w:rsidRPr="005932AD" w:rsidRDefault="0081171B" w:rsidP="0081171B">
      <w:pPr>
        <w:spacing w:line="360" w:lineRule="auto"/>
        <w:jc w:val="both"/>
        <w:rPr>
          <w:rFonts w:ascii="Source Sans Pro" w:hAnsi="Source Sans Pro"/>
          <w:sz w:val="22"/>
          <w:szCs w:val="22"/>
        </w:rPr>
      </w:pPr>
    </w:p>
    <w:p w14:paraId="4095EA0F"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b/>
          <w:bCs/>
          <w:sz w:val="22"/>
          <w:szCs w:val="22"/>
        </w:rPr>
        <w:t>00:59:12 Bogdan Benczak</w:t>
      </w:r>
    </w:p>
    <w:p w14:paraId="52410C01"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I would like to thank you all most sincerely and to emphasize once again these solid results. As you can see, we are consistently building the PZU Group step by step. Where it is possible, we seize these opportunities, we buy, we consolidate, and at the same time we also focus on improving our core business, our efficiency and our operating model. Thank you very much and, Maciej, congratulations.</w:t>
      </w:r>
    </w:p>
    <w:p w14:paraId="247651F0" w14:textId="77777777" w:rsidR="0081171B" w:rsidRPr="005932AD" w:rsidRDefault="0081171B" w:rsidP="0081171B">
      <w:pPr>
        <w:spacing w:line="360" w:lineRule="auto"/>
        <w:jc w:val="both"/>
        <w:rPr>
          <w:rFonts w:ascii="Source Sans Pro" w:hAnsi="Source Sans Pro"/>
          <w:sz w:val="22"/>
          <w:szCs w:val="22"/>
        </w:rPr>
      </w:pPr>
    </w:p>
    <w:p w14:paraId="6A323A47"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00:59:50 Maciej Fedyna</w:t>
      </w:r>
    </w:p>
    <w:p w14:paraId="23F2AAAF"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Thank you very much as well.</w:t>
      </w:r>
    </w:p>
    <w:p w14:paraId="2F8ABCD7" w14:textId="77777777" w:rsidR="0081171B" w:rsidRPr="005932AD" w:rsidRDefault="0081171B" w:rsidP="0081171B">
      <w:pPr>
        <w:spacing w:line="360" w:lineRule="auto"/>
        <w:jc w:val="both"/>
        <w:rPr>
          <w:rFonts w:ascii="Source Sans Pro" w:hAnsi="Source Sans Pro"/>
          <w:sz w:val="22"/>
          <w:szCs w:val="22"/>
        </w:rPr>
      </w:pPr>
    </w:p>
    <w:p w14:paraId="787B3F98" w14:textId="77777777" w:rsidR="0081171B" w:rsidRPr="005932AD" w:rsidRDefault="0081171B" w:rsidP="0081171B">
      <w:pPr>
        <w:spacing w:line="360" w:lineRule="auto"/>
        <w:jc w:val="both"/>
        <w:rPr>
          <w:rFonts w:ascii="Source Sans Pro" w:hAnsi="Source Sans Pro"/>
          <w:b/>
          <w:bCs/>
          <w:sz w:val="22"/>
          <w:szCs w:val="22"/>
        </w:rPr>
      </w:pPr>
      <w:r w:rsidRPr="005932AD">
        <w:rPr>
          <w:rFonts w:ascii="Source Sans Pro" w:hAnsi="Source Sans Pro"/>
          <w:b/>
          <w:bCs/>
          <w:sz w:val="22"/>
          <w:szCs w:val="22"/>
        </w:rPr>
        <w:t>00:59:53 Magdalena Komaracka</w:t>
      </w:r>
    </w:p>
    <w:p w14:paraId="2B43B2F7" w14:textId="77777777" w:rsidR="0081171B" w:rsidRPr="005932AD" w:rsidRDefault="0081171B" w:rsidP="0081171B">
      <w:pPr>
        <w:spacing w:line="360" w:lineRule="auto"/>
        <w:jc w:val="both"/>
        <w:rPr>
          <w:rFonts w:ascii="Source Sans Pro" w:hAnsi="Source Sans Pro"/>
          <w:sz w:val="22"/>
          <w:szCs w:val="22"/>
        </w:rPr>
      </w:pPr>
      <w:r w:rsidRPr="005932AD">
        <w:rPr>
          <w:rFonts w:ascii="Source Sans Pro" w:hAnsi="Source Sans Pro"/>
          <w:sz w:val="22"/>
          <w:szCs w:val="22"/>
        </w:rPr>
        <w:t>Thank you. We invite you to the next conference and, in the meantime, to the General Meeting.</w:t>
      </w:r>
    </w:p>
    <w:p w14:paraId="5F35743D" w14:textId="77777777" w:rsidR="0081171B" w:rsidRPr="005932AD" w:rsidRDefault="0081171B" w:rsidP="0081171B">
      <w:pPr>
        <w:spacing w:line="360" w:lineRule="auto"/>
        <w:jc w:val="both"/>
        <w:rPr>
          <w:rFonts w:ascii="Source Sans Pro" w:hAnsi="Source Sans Pro"/>
          <w:sz w:val="22"/>
          <w:szCs w:val="22"/>
        </w:rPr>
      </w:pPr>
    </w:p>
    <w:p w14:paraId="5FF71573" w14:textId="03FFF844" w:rsidR="009B31A5" w:rsidRPr="005932AD" w:rsidRDefault="009B31A5" w:rsidP="0081171B">
      <w:pPr>
        <w:spacing w:line="360" w:lineRule="auto"/>
        <w:rPr>
          <w:rFonts w:ascii="Source Sans Pro" w:hAnsi="Source Sans Pro"/>
          <w:sz w:val="22"/>
          <w:szCs w:val="22"/>
        </w:rPr>
      </w:pPr>
    </w:p>
    <w:sectPr w:rsidR="009B31A5" w:rsidRPr="005932A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96BE1" w14:textId="77777777" w:rsidR="0081563F" w:rsidRDefault="0081563F" w:rsidP="000740A9">
      <w:r>
        <w:separator/>
      </w:r>
    </w:p>
  </w:endnote>
  <w:endnote w:type="continuationSeparator" w:id="0">
    <w:p w14:paraId="57137563" w14:textId="77777777" w:rsidR="0081563F" w:rsidRDefault="0081563F" w:rsidP="00074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F6F6C" w14:textId="77777777" w:rsidR="0081563F" w:rsidRDefault="0081563F" w:rsidP="000740A9">
      <w:r>
        <w:separator/>
      </w:r>
    </w:p>
  </w:footnote>
  <w:footnote w:type="continuationSeparator" w:id="0">
    <w:p w14:paraId="40AF8ED1" w14:textId="77777777" w:rsidR="0081563F" w:rsidRDefault="0081563F" w:rsidP="000740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8CE1C" w14:textId="77777777" w:rsidR="000740A9" w:rsidRDefault="000740A9" w:rsidP="000740A9">
    <w:pPr>
      <w:pStyle w:val="Default"/>
    </w:pPr>
  </w:p>
  <w:p w14:paraId="2C17EC34" w14:textId="29015555" w:rsidR="000740A9" w:rsidRPr="009F3618" w:rsidRDefault="000740A9" w:rsidP="000740A9">
    <w:pPr>
      <w:pStyle w:val="Default"/>
      <w:rPr>
        <w:sz w:val="22"/>
        <w:szCs w:val="22"/>
        <w:lang w:val="en-US"/>
      </w:rPr>
    </w:pPr>
    <w:r w:rsidRPr="009F3618">
      <w:rPr>
        <w:lang w:val="en-US"/>
      </w:rPr>
      <w:t xml:space="preserve"> PZU Financial Results Presentation for 1Q26 – May 18, 2026 </w:t>
    </w:r>
  </w:p>
  <w:p w14:paraId="2CCD4D2D" w14:textId="77777777" w:rsidR="000740A9" w:rsidRDefault="000740A9" w:rsidP="000740A9">
    <w:pPr>
      <w:pStyle w:val="Nagwek"/>
      <w:pBdr>
        <w:bottom w:val="single" w:sz="4" w:space="1" w:color="D9D9D9" w:themeColor="background1" w:themeShade="D9"/>
      </w:pBdr>
      <w:rPr>
        <w:b/>
        <w:bCs/>
      </w:rPr>
    </w:pPr>
  </w:p>
  <w:p w14:paraId="5B16795C" w14:textId="77777777" w:rsidR="000740A9" w:rsidRDefault="000740A9" w:rsidP="000740A9">
    <w:pPr>
      <w:pStyle w:val="Nagwek"/>
    </w:pPr>
  </w:p>
  <w:p w14:paraId="3C5EE363" w14:textId="77777777" w:rsidR="000740A9" w:rsidRDefault="000740A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AF05A3"/>
    <w:multiLevelType w:val="hybridMultilevel"/>
    <w:tmpl w:val="DDB04AE0"/>
    <w:lvl w:ilvl="0" w:tplc="0C5A3CE4">
      <w:start w:val="1"/>
      <w:numFmt w:val="bullet"/>
      <w:lvlText w:val="●"/>
      <w:lvlJc w:val="left"/>
      <w:pPr>
        <w:ind w:left="720" w:hanging="360"/>
      </w:pPr>
    </w:lvl>
    <w:lvl w:ilvl="1" w:tplc="4A040E78">
      <w:start w:val="1"/>
      <w:numFmt w:val="bullet"/>
      <w:lvlText w:val="○"/>
      <w:lvlJc w:val="left"/>
      <w:pPr>
        <w:ind w:left="1440" w:hanging="360"/>
      </w:pPr>
    </w:lvl>
    <w:lvl w:ilvl="2" w:tplc="65C6E37E">
      <w:start w:val="1"/>
      <w:numFmt w:val="bullet"/>
      <w:lvlText w:val="■"/>
      <w:lvlJc w:val="left"/>
      <w:pPr>
        <w:ind w:left="2160" w:hanging="360"/>
      </w:pPr>
    </w:lvl>
    <w:lvl w:ilvl="3" w:tplc="EC8681F0">
      <w:start w:val="1"/>
      <w:numFmt w:val="bullet"/>
      <w:lvlText w:val="●"/>
      <w:lvlJc w:val="left"/>
      <w:pPr>
        <w:ind w:left="2880" w:hanging="360"/>
      </w:pPr>
    </w:lvl>
    <w:lvl w:ilvl="4" w:tplc="374E1BC4">
      <w:start w:val="1"/>
      <w:numFmt w:val="bullet"/>
      <w:lvlText w:val="○"/>
      <w:lvlJc w:val="left"/>
      <w:pPr>
        <w:ind w:left="3600" w:hanging="360"/>
      </w:pPr>
    </w:lvl>
    <w:lvl w:ilvl="5" w:tplc="805CABAE">
      <w:start w:val="1"/>
      <w:numFmt w:val="bullet"/>
      <w:lvlText w:val="■"/>
      <w:lvlJc w:val="left"/>
      <w:pPr>
        <w:ind w:left="4320" w:hanging="360"/>
      </w:pPr>
    </w:lvl>
    <w:lvl w:ilvl="6" w:tplc="E0C69E46">
      <w:start w:val="1"/>
      <w:numFmt w:val="bullet"/>
      <w:lvlText w:val="●"/>
      <w:lvlJc w:val="left"/>
      <w:pPr>
        <w:ind w:left="5040" w:hanging="360"/>
      </w:pPr>
    </w:lvl>
    <w:lvl w:ilvl="7" w:tplc="72FA6F10">
      <w:start w:val="1"/>
      <w:numFmt w:val="bullet"/>
      <w:lvlText w:val="●"/>
      <w:lvlJc w:val="left"/>
      <w:pPr>
        <w:ind w:left="5760" w:hanging="360"/>
      </w:pPr>
    </w:lvl>
    <w:lvl w:ilvl="8" w:tplc="4BB605B8">
      <w:start w:val="1"/>
      <w:numFmt w:val="bullet"/>
      <w:lvlText w:val="●"/>
      <w:lvlJc w:val="left"/>
      <w:pPr>
        <w:ind w:left="6480" w:hanging="360"/>
      </w:pPr>
    </w:lvl>
  </w:abstractNum>
  <w:num w:numId="1" w16cid:durableId="41493823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1A5"/>
    <w:rsid w:val="00021107"/>
    <w:rsid w:val="000707C0"/>
    <w:rsid w:val="000740A9"/>
    <w:rsid w:val="00087254"/>
    <w:rsid w:val="000D297A"/>
    <w:rsid w:val="000E0CB7"/>
    <w:rsid w:val="00190377"/>
    <w:rsid w:val="001A53D4"/>
    <w:rsid w:val="001F0533"/>
    <w:rsid w:val="002A314C"/>
    <w:rsid w:val="002C377A"/>
    <w:rsid w:val="002D6B37"/>
    <w:rsid w:val="002F7935"/>
    <w:rsid w:val="00313DFD"/>
    <w:rsid w:val="0038199A"/>
    <w:rsid w:val="003D56FB"/>
    <w:rsid w:val="003F222C"/>
    <w:rsid w:val="003F57BA"/>
    <w:rsid w:val="00400AE9"/>
    <w:rsid w:val="00400E87"/>
    <w:rsid w:val="004163AB"/>
    <w:rsid w:val="004222E6"/>
    <w:rsid w:val="00424D0A"/>
    <w:rsid w:val="004270C6"/>
    <w:rsid w:val="00431C45"/>
    <w:rsid w:val="0043668D"/>
    <w:rsid w:val="00484EBC"/>
    <w:rsid w:val="004B090D"/>
    <w:rsid w:val="004B7A78"/>
    <w:rsid w:val="004D1B3C"/>
    <w:rsid w:val="00517231"/>
    <w:rsid w:val="00530ACE"/>
    <w:rsid w:val="00534B1E"/>
    <w:rsid w:val="00541ADA"/>
    <w:rsid w:val="00543D84"/>
    <w:rsid w:val="005736D4"/>
    <w:rsid w:val="00584ED4"/>
    <w:rsid w:val="0058564F"/>
    <w:rsid w:val="005932AD"/>
    <w:rsid w:val="00593E99"/>
    <w:rsid w:val="00597853"/>
    <w:rsid w:val="005B4E85"/>
    <w:rsid w:val="005C0E7C"/>
    <w:rsid w:val="005C39EC"/>
    <w:rsid w:val="005F3F6D"/>
    <w:rsid w:val="00622088"/>
    <w:rsid w:val="00627220"/>
    <w:rsid w:val="00651B1D"/>
    <w:rsid w:val="006E61F6"/>
    <w:rsid w:val="0071075A"/>
    <w:rsid w:val="0076216C"/>
    <w:rsid w:val="0078231C"/>
    <w:rsid w:val="007A1B35"/>
    <w:rsid w:val="0081171B"/>
    <w:rsid w:val="008141A3"/>
    <w:rsid w:val="0081563F"/>
    <w:rsid w:val="00884FD7"/>
    <w:rsid w:val="008D7054"/>
    <w:rsid w:val="00960300"/>
    <w:rsid w:val="00973099"/>
    <w:rsid w:val="00986556"/>
    <w:rsid w:val="00996888"/>
    <w:rsid w:val="009B31A5"/>
    <w:rsid w:val="009C7780"/>
    <w:rsid w:val="009D3858"/>
    <w:rsid w:val="009E7FC8"/>
    <w:rsid w:val="009F116F"/>
    <w:rsid w:val="009F3E74"/>
    <w:rsid w:val="00A0780E"/>
    <w:rsid w:val="00A140BA"/>
    <w:rsid w:val="00A3765D"/>
    <w:rsid w:val="00A460A5"/>
    <w:rsid w:val="00A54B70"/>
    <w:rsid w:val="00A82D78"/>
    <w:rsid w:val="00AE3AED"/>
    <w:rsid w:val="00AE4DF6"/>
    <w:rsid w:val="00AE6B29"/>
    <w:rsid w:val="00AF4035"/>
    <w:rsid w:val="00B23EC7"/>
    <w:rsid w:val="00B65A07"/>
    <w:rsid w:val="00B80E59"/>
    <w:rsid w:val="00B92B49"/>
    <w:rsid w:val="00BC2F6B"/>
    <w:rsid w:val="00BD1FAF"/>
    <w:rsid w:val="00BE5374"/>
    <w:rsid w:val="00BF5E8A"/>
    <w:rsid w:val="00C12751"/>
    <w:rsid w:val="00C12FC4"/>
    <w:rsid w:val="00C16B3E"/>
    <w:rsid w:val="00C84EA6"/>
    <w:rsid w:val="00CA4021"/>
    <w:rsid w:val="00CA5AF8"/>
    <w:rsid w:val="00CD0300"/>
    <w:rsid w:val="00CF1A6B"/>
    <w:rsid w:val="00CF5350"/>
    <w:rsid w:val="00D15E36"/>
    <w:rsid w:val="00D20E29"/>
    <w:rsid w:val="00D866F7"/>
    <w:rsid w:val="00DC1B5B"/>
    <w:rsid w:val="00E16F0E"/>
    <w:rsid w:val="00E30E40"/>
    <w:rsid w:val="00E43117"/>
    <w:rsid w:val="00EB784F"/>
    <w:rsid w:val="00F44E79"/>
    <w:rsid w:val="00F77C76"/>
    <w:rsid w:val="00FB3F14"/>
    <w:rsid w:val="00FB6D3D"/>
    <w:rsid w:val="00FE0D44"/>
    <w:rsid w:val="00FF31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0AA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uiPriority w:val="9"/>
    <w:qFormat/>
    <w:pPr>
      <w:outlineLvl w:val="0"/>
    </w:pPr>
    <w:rPr>
      <w:color w:val="2E74B5"/>
      <w:sz w:val="32"/>
      <w:szCs w:val="32"/>
    </w:rPr>
  </w:style>
  <w:style w:type="paragraph" w:styleId="Nagwek2">
    <w:name w:val="heading 2"/>
    <w:uiPriority w:val="9"/>
    <w:semiHidden/>
    <w:unhideWhenUsed/>
    <w:qFormat/>
    <w:pPr>
      <w:outlineLvl w:val="1"/>
    </w:pPr>
    <w:rPr>
      <w:color w:val="2E74B5"/>
      <w:sz w:val="26"/>
      <w:szCs w:val="26"/>
    </w:rPr>
  </w:style>
  <w:style w:type="paragraph" w:styleId="Nagwek3">
    <w:name w:val="heading 3"/>
    <w:uiPriority w:val="9"/>
    <w:semiHidden/>
    <w:unhideWhenUsed/>
    <w:qFormat/>
    <w:pPr>
      <w:outlineLvl w:val="2"/>
    </w:pPr>
    <w:rPr>
      <w:color w:val="1F4D78"/>
      <w:sz w:val="24"/>
      <w:szCs w:val="24"/>
    </w:rPr>
  </w:style>
  <w:style w:type="paragraph" w:styleId="Nagwek4">
    <w:name w:val="heading 4"/>
    <w:uiPriority w:val="9"/>
    <w:semiHidden/>
    <w:unhideWhenUsed/>
    <w:qFormat/>
    <w:pPr>
      <w:outlineLvl w:val="3"/>
    </w:pPr>
    <w:rPr>
      <w:i/>
      <w:iCs/>
      <w:color w:val="2E74B5"/>
    </w:rPr>
  </w:style>
  <w:style w:type="paragraph" w:styleId="Nagwek5">
    <w:name w:val="heading 5"/>
    <w:uiPriority w:val="9"/>
    <w:semiHidden/>
    <w:unhideWhenUsed/>
    <w:qFormat/>
    <w:pPr>
      <w:outlineLvl w:val="4"/>
    </w:pPr>
    <w:rPr>
      <w:color w:val="2E74B5"/>
    </w:rPr>
  </w:style>
  <w:style w:type="paragraph" w:styleId="Nagwek6">
    <w:name w:val="heading 6"/>
    <w:uiPriority w:val="9"/>
    <w:semiHidden/>
    <w:unhideWhenUsed/>
    <w:qFormat/>
    <w:pPr>
      <w:outlineLvl w:val="5"/>
    </w:pPr>
    <w:rPr>
      <w:color w:val="1F4D7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uiPriority w:val="10"/>
    <w:qFormat/>
    <w:rPr>
      <w:sz w:val="56"/>
      <w:szCs w:val="56"/>
    </w:rPr>
  </w:style>
  <w:style w:type="paragraph" w:customStyle="1" w:styleId="Strong1">
    <w:name w:val="Strong1"/>
    <w:qFormat/>
    <w:rPr>
      <w:b/>
      <w:bCs/>
    </w:rPr>
  </w:style>
  <w:style w:type="paragraph" w:styleId="Akapitzlist">
    <w:name w:val="List Paragraph"/>
    <w:qFormat/>
  </w:style>
  <w:style w:type="character" w:styleId="Hipercze">
    <w:name w:val="Hyperlink"/>
    <w:uiPriority w:val="99"/>
    <w:unhideWhenUsed/>
    <w:rPr>
      <w:color w:val="0563C1"/>
      <w:u w:val="single"/>
    </w:rPr>
  </w:style>
  <w:style w:type="character" w:styleId="Odwoanieprzypisudolnego">
    <w:name w:val="footnote reference"/>
    <w:uiPriority w:val="99"/>
    <w:semiHidden/>
    <w:unhideWhenUsed/>
    <w:rPr>
      <w:vertAlign w:val="superscript"/>
    </w:rPr>
  </w:style>
  <w:style w:type="paragraph" w:styleId="Tekstprzypisudolnego">
    <w:name w:val="footnote text"/>
    <w:link w:val="TekstprzypisudolnegoZnak"/>
    <w:uiPriority w:val="99"/>
    <w:semiHidden/>
    <w:unhideWhenUsed/>
  </w:style>
  <w:style w:type="character" w:customStyle="1" w:styleId="TekstprzypisudolnegoZnak">
    <w:name w:val="Tekst przypisu dolnego Znak"/>
    <w:link w:val="Tekstprzypisudolnego"/>
    <w:uiPriority w:val="99"/>
    <w:semiHidden/>
    <w:unhideWhenUsed/>
    <w:rPr>
      <w:sz w:val="20"/>
      <w:szCs w:val="20"/>
    </w:rPr>
  </w:style>
  <w:style w:type="paragraph" w:customStyle="1" w:styleId="Pytanie">
    <w:name w:val="Pytanie"/>
    <w:basedOn w:val="Normalny"/>
    <w:rsid w:val="00D866F7"/>
    <w:pPr>
      <w:suppressAutoHyphens/>
      <w:spacing w:before="240"/>
    </w:pPr>
    <w:rPr>
      <w:rFonts w:ascii="Arial" w:hAnsi="Arial" w:cs="Arial"/>
      <w:b/>
      <w:sz w:val="22"/>
      <w:lang w:eastAsia="zh-CN"/>
    </w:rPr>
  </w:style>
  <w:style w:type="table" w:styleId="Tabela-Siatka">
    <w:name w:val="Table Grid"/>
    <w:basedOn w:val="Standardowy"/>
    <w:uiPriority w:val="39"/>
    <w:rsid w:val="00D866F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basedOn w:val="Domylnaczcionkaakapitu"/>
    <w:uiPriority w:val="99"/>
    <w:semiHidden/>
    <w:unhideWhenUsed/>
    <w:rsid w:val="0043668D"/>
    <w:rPr>
      <w:color w:val="605E5C"/>
      <w:shd w:val="clear" w:color="auto" w:fill="E1DFDD"/>
    </w:rPr>
  </w:style>
  <w:style w:type="paragraph" w:styleId="Nagwek">
    <w:name w:val="header"/>
    <w:basedOn w:val="Normalny"/>
    <w:link w:val="NagwekZnak"/>
    <w:uiPriority w:val="99"/>
    <w:unhideWhenUsed/>
    <w:rsid w:val="000740A9"/>
    <w:pPr>
      <w:tabs>
        <w:tab w:val="center" w:pos="4536"/>
        <w:tab w:val="right" w:pos="9072"/>
      </w:tabs>
    </w:pPr>
  </w:style>
  <w:style w:type="character" w:customStyle="1" w:styleId="NagwekZnak">
    <w:name w:val="Nagłówek Znak"/>
    <w:basedOn w:val="Domylnaczcionkaakapitu"/>
    <w:link w:val="Nagwek"/>
    <w:uiPriority w:val="99"/>
    <w:rsid w:val="000740A9"/>
  </w:style>
  <w:style w:type="paragraph" w:styleId="Stopka">
    <w:name w:val="footer"/>
    <w:basedOn w:val="Normalny"/>
    <w:link w:val="StopkaZnak"/>
    <w:uiPriority w:val="99"/>
    <w:unhideWhenUsed/>
    <w:rsid w:val="000740A9"/>
    <w:pPr>
      <w:tabs>
        <w:tab w:val="center" w:pos="4536"/>
        <w:tab w:val="right" w:pos="9072"/>
      </w:tabs>
    </w:pPr>
  </w:style>
  <w:style w:type="character" w:customStyle="1" w:styleId="StopkaZnak">
    <w:name w:val="Stopka Znak"/>
    <w:basedOn w:val="Domylnaczcionkaakapitu"/>
    <w:link w:val="Stopka"/>
    <w:uiPriority w:val="99"/>
    <w:rsid w:val="000740A9"/>
  </w:style>
  <w:style w:type="paragraph" w:customStyle="1" w:styleId="Default">
    <w:name w:val="Default"/>
    <w:rsid w:val="000740A9"/>
    <w:pPr>
      <w:autoSpaceDE w:val="0"/>
      <w:autoSpaceDN w:val="0"/>
      <w:adjustRightInd w:val="0"/>
    </w:pPr>
    <w:rPr>
      <w:rFonts w:ascii="Calibri" w:eastAsiaTheme="minorHAnsi" w:hAnsi="Calibri" w:cs="Calibri"/>
      <w:color w:val="000000"/>
      <w:sz w:val="24"/>
      <w:szCs w:val="24"/>
      <w:lang w:val="en-GB"/>
    </w:rPr>
  </w:style>
  <w:style w:type="paragraph" w:customStyle="1" w:styleId="msonormal0">
    <w:name w:val="msonormal"/>
    <w:basedOn w:val="Normalny"/>
    <w:rsid w:val="00087254"/>
    <w:pPr>
      <w:spacing w:before="100" w:beforeAutospacing="1" w:after="100" w:afterAutospacing="1"/>
    </w:pPr>
    <w:rPr>
      <w:sz w:val="24"/>
      <w:szCs w:val="24"/>
      <w:lang w:val="en-GB" w:eastAsia="en-GB"/>
    </w:rPr>
  </w:style>
  <w:style w:type="paragraph" w:styleId="Poprawka">
    <w:name w:val="Revision"/>
    <w:hidden/>
    <w:uiPriority w:val="99"/>
    <w:semiHidden/>
    <w:rsid w:val="008141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62677">
      <w:bodyDiv w:val="1"/>
      <w:marLeft w:val="0"/>
      <w:marRight w:val="0"/>
      <w:marTop w:val="0"/>
      <w:marBottom w:val="0"/>
      <w:divBdr>
        <w:top w:val="none" w:sz="0" w:space="0" w:color="auto"/>
        <w:left w:val="none" w:sz="0" w:space="0" w:color="auto"/>
        <w:bottom w:val="none" w:sz="0" w:space="0" w:color="auto"/>
        <w:right w:val="none" w:sz="0" w:space="0" w:color="auto"/>
      </w:divBdr>
    </w:div>
    <w:div w:id="911545579">
      <w:bodyDiv w:val="1"/>
      <w:marLeft w:val="0"/>
      <w:marRight w:val="0"/>
      <w:marTop w:val="0"/>
      <w:marBottom w:val="0"/>
      <w:divBdr>
        <w:top w:val="none" w:sz="0" w:space="0" w:color="auto"/>
        <w:left w:val="none" w:sz="0" w:space="0" w:color="auto"/>
        <w:bottom w:val="none" w:sz="0" w:space="0" w:color="auto"/>
        <w:right w:val="none" w:sz="0" w:space="0" w:color="auto"/>
      </w:divBdr>
    </w:div>
    <w:div w:id="1327710069">
      <w:bodyDiv w:val="1"/>
      <w:marLeft w:val="0"/>
      <w:marRight w:val="0"/>
      <w:marTop w:val="0"/>
      <w:marBottom w:val="0"/>
      <w:divBdr>
        <w:top w:val="none" w:sz="0" w:space="0" w:color="auto"/>
        <w:left w:val="none" w:sz="0" w:space="0" w:color="auto"/>
        <w:bottom w:val="none" w:sz="0" w:space="0" w:color="auto"/>
        <w:right w:val="none" w:sz="0" w:space="0" w:color="auto"/>
      </w:divBdr>
    </w:div>
    <w:div w:id="1457482842">
      <w:bodyDiv w:val="1"/>
      <w:marLeft w:val="0"/>
      <w:marRight w:val="0"/>
      <w:marTop w:val="0"/>
      <w:marBottom w:val="0"/>
      <w:divBdr>
        <w:top w:val="none" w:sz="0" w:space="0" w:color="auto"/>
        <w:left w:val="none" w:sz="0" w:space="0" w:color="auto"/>
        <w:bottom w:val="none" w:sz="0" w:space="0" w:color="auto"/>
        <w:right w:val="none" w:sz="0" w:space="0" w:color="auto"/>
      </w:divBdr>
    </w:div>
    <w:div w:id="15118736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A31D7-4F16-412F-86AF-0E42AB979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6090</Words>
  <Characters>36543</Characters>
  <Application>Microsoft Office Word</Application>
  <DocSecurity>0</DocSecurity>
  <Lines>304</Lines>
  <Paragraphs>85</Paragraphs>
  <ScaleCrop>false</ScaleCrop>
  <Company/>
  <LinksUpToDate>false</LinksUpToDate>
  <CharactersWithSpaces>42548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2026-08-31T13:09:00Z</dcterms:created>
  <dcterms:modified xsi:type="dcterms:W3CDTF">2026-08-31T13:09:00Z</dcterms:modified>
</cp:coreProperties>
</file>